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61907" w14:textId="4D70C292" w:rsidR="009B6E9C" w:rsidRDefault="00BF5B9D" w:rsidP="00BF5B9D">
      <w:pPr>
        <w:pStyle w:val="Heading1-CoverTitle"/>
      </w:pPr>
      <w:r w:rsidRPr="00BF5B9D">
        <w:t>Measuring</w:t>
      </w:r>
      <w:r w:rsidR="00C0109E">
        <w:t xml:space="preserve"> </w:t>
      </w:r>
      <w:r w:rsidR="009E6306">
        <w:t>Alternat</w:t>
      </w:r>
      <w:r w:rsidR="00C0109E">
        <w:t>ive</w:t>
      </w:r>
      <w:r w:rsidR="009E6306">
        <w:t xml:space="preserve"> Means of Expression </w:t>
      </w:r>
    </w:p>
    <w:p w14:paraId="77ED47E5" w14:textId="399E8E37" w:rsidR="009E6306" w:rsidRPr="009B6C8B" w:rsidRDefault="009E6306" w:rsidP="009B6C8B">
      <w:pPr>
        <w:pStyle w:val="Subtitle-Cover"/>
        <w:rPr>
          <w:caps/>
        </w:rPr>
      </w:pPr>
      <w:r>
        <w:t>Tools for Measuring Proficiency Across Assessment Mediums</w:t>
      </w:r>
    </w:p>
    <w:p w14:paraId="00000003" w14:textId="0239B93D" w:rsidR="00D80A11" w:rsidRPr="009B6E9C" w:rsidRDefault="00000000" w:rsidP="009B6E9C">
      <w:pPr>
        <w:pStyle w:val="Cover-Authors"/>
        <w:spacing w:before="120"/>
      </w:pPr>
      <w:r w:rsidRPr="00337C01">
        <w:rPr>
          <w:bCs/>
        </w:rPr>
        <w:t>Authors:</w:t>
      </w:r>
      <w:r w:rsidRPr="009B6E9C">
        <w:t xml:space="preserve"> </w:t>
      </w:r>
      <w:r w:rsidR="00BF5B9D">
        <w:t xml:space="preserve">Angela Knotts, Angela Torres, </w:t>
      </w:r>
      <w:r w:rsidR="000D44DC">
        <w:t>and</w:t>
      </w:r>
      <w:r w:rsidR="00BA6348">
        <w:t xml:space="preserve"> </w:t>
      </w:r>
      <w:r w:rsidR="000D44DC">
        <w:br/>
      </w:r>
      <w:r w:rsidR="00BF5B9D">
        <w:t>Beth Clavenna-Deane</w:t>
      </w:r>
    </w:p>
    <w:p w14:paraId="15BAE9CF" w14:textId="039BCDEA" w:rsidR="00333E8C" w:rsidRPr="009B6C8B" w:rsidRDefault="00402C09" w:rsidP="009B6C8B">
      <w:pPr>
        <w:pStyle w:val="Cover-Date"/>
      </w:pPr>
      <w:r w:rsidRPr="009B6C8B">
        <w:t>May 31</w:t>
      </w:r>
      <w:r w:rsidR="00333E8C" w:rsidRPr="009B6C8B">
        <w:t>, 202</w:t>
      </w:r>
      <w:r w:rsidRPr="009B6C8B">
        <w:t>4</w:t>
      </w:r>
    </w:p>
    <w:p w14:paraId="7CC5406F" w14:textId="77777777" w:rsidR="009B6C8B" w:rsidRDefault="009B6C8B">
      <w:pPr>
        <w:pBdr>
          <w:top w:val="nil"/>
          <w:left w:val="nil"/>
          <w:bottom w:val="nil"/>
          <w:right w:val="nil"/>
          <w:between w:val="nil"/>
        </w:pBdr>
        <w:rPr>
          <w:b/>
          <w:color w:val="000000"/>
          <w:sz w:val="22"/>
          <w:szCs w:val="22"/>
        </w:rPr>
        <w:sectPr w:rsidR="009B6C8B" w:rsidSect="00924042">
          <w:headerReference w:type="even" r:id="rId9"/>
          <w:headerReference w:type="default" r:id="rId10"/>
          <w:footerReference w:type="even" r:id="rId11"/>
          <w:footerReference w:type="default" r:id="rId12"/>
          <w:headerReference w:type="first" r:id="rId13"/>
          <w:footerReference w:type="first" r:id="rId14"/>
          <w:pgSz w:w="12240" w:h="15840"/>
          <w:pgMar w:top="1627" w:right="1440" w:bottom="1264" w:left="1440" w:header="431" w:footer="459" w:gutter="0"/>
          <w:pgNumType w:start="1"/>
          <w:cols w:space="720"/>
          <w:titlePg/>
          <w:docGrid w:linePitch="326"/>
        </w:sectPr>
      </w:pPr>
    </w:p>
    <w:p w14:paraId="7BF311EB" w14:textId="420277EE" w:rsidR="00333E8C" w:rsidRPr="00BE3BCF" w:rsidRDefault="00BF5B9D" w:rsidP="009B6C8B">
      <w:pPr>
        <w:pStyle w:val="Heading2B-Startofnewpage"/>
      </w:pPr>
      <w:bookmarkStart w:id="1" w:name="_heading=h.utidim3lq6bl" w:colFirst="0" w:colLast="0"/>
      <w:bookmarkStart w:id="2" w:name="_heading=h.rzgdmg45gffe" w:colFirst="0" w:colLast="0"/>
      <w:bookmarkEnd w:id="1"/>
      <w:bookmarkEnd w:id="2"/>
      <w:r>
        <w:lastRenderedPageBreak/>
        <w:t>Introduction</w:t>
      </w:r>
    </w:p>
    <w:p w14:paraId="700513C8" w14:textId="2A45504A" w:rsidR="00202AA0" w:rsidRPr="00BF5B9D" w:rsidRDefault="2B9D951E" w:rsidP="009B6C8B">
      <w:pPr>
        <w:pStyle w:val="Paragraph"/>
      </w:pPr>
      <w:r>
        <w:t xml:space="preserve">With the California School Dashboard being able to distill down to indicators of progress at the student group level, schools and school systems are becoming more aware of the need to implement approaches that effectively support students with </w:t>
      </w:r>
      <w:r w:rsidR="00C0109E">
        <w:t>disabilities</w:t>
      </w:r>
      <w:r>
        <w:t xml:space="preserve"> to successfully graduate with a high school diploma. One significant challenge faced by these students is achieving credit toward graduation in Algebra</w:t>
      </w:r>
      <w:r w:rsidR="009623AA">
        <w:t> </w:t>
      </w:r>
      <w:r>
        <w:t>I or Math</w:t>
      </w:r>
      <w:r w:rsidR="005D5CF9">
        <w:t>ematics</w:t>
      </w:r>
      <w:r w:rsidR="009623AA">
        <w:t> </w:t>
      </w:r>
      <w:r>
        <w:t>I. Traditional assessment methods, such as quizzes and tests, often fail to capture the full range of student learning and can create inequities within the classroom. These measures may not be flexible enough to accommodate diverse ways in which students can demonstrate their proficiency and express their understanding of the subject matter. Additionally, relying solely on tests and quizzes limits the ability to tailor educational programming to be inclusive of a wide array of student populations</w:t>
      </w:r>
      <w:r w:rsidR="00C0109E">
        <w:t xml:space="preserve"> including those with disabilities</w:t>
      </w:r>
      <w:r>
        <w:t>. This practice brief describes ways to incorporate alternat</w:t>
      </w:r>
      <w:r w:rsidR="00C0109E">
        <w:t>ive</w:t>
      </w:r>
      <w:r>
        <w:t xml:space="preserve"> means of expression to students using proficiency rubrics grounded in equitable grading practices, using Algebra</w:t>
      </w:r>
      <w:r w:rsidR="009623AA">
        <w:t> </w:t>
      </w:r>
      <w:r>
        <w:t>I and Math</w:t>
      </w:r>
      <w:r w:rsidR="00925686">
        <w:t>ematics</w:t>
      </w:r>
      <w:r w:rsidR="009623AA">
        <w:t> </w:t>
      </w:r>
      <w:r>
        <w:t>I concepts as examples.</w:t>
      </w:r>
    </w:p>
    <w:p w14:paraId="46DE1F57" w14:textId="172A1B6D" w:rsidR="00BF5B9D" w:rsidRPr="009B6C8B" w:rsidRDefault="00BF5B9D" w:rsidP="009B6C8B">
      <w:pPr>
        <w:pStyle w:val="Heading2C-Withinflow"/>
      </w:pPr>
      <w:r w:rsidRPr="009B6C8B">
        <w:t xml:space="preserve">Assessment Practices Supporting Students with </w:t>
      </w:r>
      <w:r w:rsidR="00C0109E" w:rsidRPr="009B6C8B">
        <w:t>Disabilities</w:t>
      </w:r>
    </w:p>
    <w:p w14:paraId="12B70F65" w14:textId="76686259" w:rsidR="00EA6CC5" w:rsidRDefault="2B9D951E" w:rsidP="009B6C8B">
      <w:pPr>
        <w:pStyle w:val="Paragraph"/>
      </w:pPr>
      <w:r>
        <w:t xml:space="preserve">California educators have expressed a heightened interest in approaches that support students with </w:t>
      </w:r>
      <w:r w:rsidR="00C0109E">
        <w:t xml:space="preserve">disabilities </w:t>
      </w:r>
      <w:r>
        <w:t>to graduate with a high school diploma, noting that achieving credit toward graduation in Algebra</w:t>
      </w:r>
      <w:r w:rsidR="009623AA">
        <w:t> </w:t>
      </w:r>
      <w:r>
        <w:t>I or Math</w:t>
      </w:r>
      <w:r w:rsidR="00925686">
        <w:t>ematics</w:t>
      </w:r>
      <w:r w:rsidR="009623AA">
        <w:t> </w:t>
      </w:r>
      <w:r>
        <w:t xml:space="preserve">I has been a significant obstacle for students with </w:t>
      </w:r>
      <w:r w:rsidR="00C0109E">
        <w:t>disabilities</w:t>
      </w:r>
      <w:r>
        <w:t xml:space="preserve">. Traditional measures, such as quizzes and tests, can create inequities in the classroom, as they often measure a narrow scope of the content and may not be flexible enough to account for varied ways students can demonstrate and express their learning. Furthermore, using only tests and quizzes restricts the </w:t>
      </w:r>
      <w:r>
        <w:lastRenderedPageBreak/>
        <w:t xml:space="preserve">individualization of the educational programming that is </w:t>
      </w:r>
      <w:r w:rsidR="00C0109E">
        <w:t>defined within the individualized education programs (IEPs) of</w:t>
      </w:r>
      <w:r>
        <w:t xml:space="preserve"> students </w:t>
      </w:r>
      <w:r w:rsidR="00C0109E">
        <w:t>with disabilities</w:t>
      </w:r>
      <w:r>
        <w:t xml:space="preserve">. Using proficiency rubrics rooted in equitable grading practices provides greater individualization and support for students with </w:t>
      </w:r>
      <w:r w:rsidR="00C0109E">
        <w:t xml:space="preserve">disabilities </w:t>
      </w:r>
      <w:r>
        <w:t>and allows them to have alternat</w:t>
      </w:r>
      <w:r w:rsidR="00C0109E">
        <w:t>ive</w:t>
      </w:r>
      <w:r>
        <w:t xml:space="preserve"> means of expression to demonstrate proficiency that reach</w:t>
      </w:r>
      <w:r w:rsidR="00BA6348">
        <w:t>es</w:t>
      </w:r>
      <w:r>
        <w:t xml:space="preserve"> beyond the traditional test format (Leich 2023). Furthermore, chapter 12 of Mathematics Assessment in the 21st Century of the </w:t>
      </w:r>
      <w:r w:rsidRPr="2B9D951E">
        <w:rPr>
          <w:i/>
          <w:iCs/>
        </w:rPr>
        <w:t>California Mathematics Framework</w:t>
      </w:r>
      <w:r>
        <w:t xml:space="preserve"> (2023) encourages educators to deploy a wide array of assessment types to support students having varied ways to show their understanding of concepts (California Department of Education [CDE] 2023). This chapter emphasizes criteria for designing clear assessment expectations </w:t>
      </w:r>
      <w:proofErr w:type="gramStart"/>
      <w:r>
        <w:t>and also</w:t>
      </w:r>
      <w:proofErr w:type="gramEnd"/>
      <w:r>
        <w:t xml:space="preserve"> provides various examples of rubrics and how they can be used in mathematics instruction and assessment. This practice brief will focus specifically on proficiency rubrics.</w:t>
      </w:r>
    </w:p>
    <w:p w14:paraId="0B83D399" w14:textId="77777777" w:rsidR="00BF5B9D" w:rsidRPr="009B6C8B" w:rsidRDefault="00BF5B9D" w:rsidP="009B6C8B">
      <w:pPr>
        <w:pStyle w:val="Heading2C-Withinflow"/>
      </w:pPr>
      <w:r w:rsidRPr="009B6C8B">
        <w:t>Proficiency Rubrics Grounded in Equitable Grading Practices</w:t>
      </w:r>
    </w:p>
    <w:p w14:paraId="0861FA8F" w14:textId="360BEE9A" w:rsidR="00BF5B9D" w:rsidRDefault="00BF5B9D" w:rsidP="009B6C8B">
      <w:pPr>
        <w:pStyle w:val="Paragraph"/>
      </w:pPr>
      <w:r w:rsidRPr="00BF5B9D">
        <w:t>A proficiency rubric objectively describes the learning progression along which students move toward proficiency with a particular learning goal. Students use the rubric to identify the components of the learning goal, where they are within those components, and what next steps they can take to reach proficiency (</w:t>
      </w:r>
      <w:r w:rsidRPr="00C51FB2">
        <w:t>Brookhart 2013</w:t>
      </w:r>
      <w:r w:rsidRPr="00BF5B9D">
        <w:t>). This measurement approach improves students’ self-regulation, motivation, and engagement, and it reduces their dependence on the teacher. The clarity and transparency of a proficiency rubric, for both formative and summative assessments, reduces the inequities that exist in traditional measures by focusing on the learning standards and success criteria while actively engaging the student</w:t>
      </w:r>
      <w:r w:rsidR="007D4F4F">
        <w:t>s</w:t>
      </w:r>
      <w:r w:rsidRPr="00BF5B9D">
        <w:t xml:space="preserve"> in their learning. Furthermore, this practice helps students, teachers, and even IEP teams (where applicable) define what alternat</w:t>
      </w:r>
      <w:r w:rsidR="00C0109E">
        <w:t>ive</w:t>
      </w:r>
      <w:r w:rsidRPr="00BF5B9D">
        <w:t xml:space="preserve"> means of expression options are viable and which </w:t>
      </w:r>
      <w:r w:rsidRPr="00BF5B9D">
        <w:lastRenderedPageBreak/>
        <w:t>are not</w:t>
      </w:r>
      <w:r w:rsidR="00EE39C3">
        <w:t>,</w:t>
      </w:r>
      <w:r w:rsidRPr="00BF5B9D">
        <w:t xml:space="preserve"> based on the degree </w:t>
      </w:r>
      <w:r w:rsidR="00EE39C3">
        <w:t xml:space="preserve">to which </w:t>
      </w:r>
      <w:r w:rsidRPr="00BF5B9D">
        <w:t xml:space="preserve">they satisfy the components of proficiency defined within the rubric. </w:t>
      </w:r>
    </w:p>
    <w:p w14:paraId="31D5E57D" w14:textId="71591AF5" w:rsidR="00BF5B9D" w:rsidRDefault="00BF5B9D" w:rsidP="009B6C8B">
      <w:pPr>
        <w:pStyle w:val="Paragraph"/>
      </w:pPr>
      <w:r w:rsidRPr="00BF5B9D">
        <w:t>To implement proficiency rubrics, teachers must clearly define the success criteria, align the criteria with the standard’s learning objectives, and explicitly communicate the criteria to students (</w:t>
      </w:r>
      <w:r w:rsidRPr="00C51FB2">
        <w:t>Townsley and Wear 2020</w:t>
      </w:r>
      <w:r w:rsidRPr="00BF5B9D">
        <w:t>). These criteria often fall along a series of levels, such as emerging, developing, approaching, and proficient, and they clearly articulate where a student is on the learning progression (</w:t>
      </w:r>
      <w:r w:rsidRPr="00C51FB2">
        <w:t>Leich 2023</w:t>
      </w:r>
      <w:r w:rsidRPr="00BF5B9D">
        <w:t>). When collaboratively developed, the rubrics allow teachers to collectively design alternat</w:t>
      </w:r>
      <w:r w:rsidR="00C0109E">
        <w:t>ive</w:t>
      </w:r>
      <w:r w:rsidRPr="00BF5B9D">
        <w:t xml:space="preserve"> means of expression for students with </w:t>
      </w:r>
      <w:r w:rsidR="00C0109E">
        <w:t>disabilities</w:t>
      </w:r>
      <w:r w:rsidRPr="00BF5B9D">
        <w:t>. Table</w:t>
      </w:r>
      <w:r w:rsidR="009623AA">
        <w:t> </w:t>
      </w:r>
      <w:r w:rsidRPr="00BF5B9D">
        <w:t xml:space="preserve">1 </w:t>
      </w:r>
      <w:r w:rsidR="00C51FB2">
        <w:t xml:space="preserve">below </w:t>
      </w:r>
      <w:r w:rsidRPr="00BF5B9D">
        <w:t>is an example of a proficiency rubric with associated success criteria for an Algebra</w:t>
      </w:r>
      <w:r w:rsidR="009623AA">
        <w:t> </w:t>
      </w:r>
      <w:r w:rsidRPr="00BF5B9D">
        <w:t>I standard. This rubric uses objective language and adheres to the goal of determining the student’s proficiency with the standard along the learning progression. The success criteria provide teachers the opportunity to consider a wide range of means of expression through which students with different strengths, abilities, backgrounds, and preferences might demonstrate proficiency. Table</w:t>
      </w:r>
      <w:r w:rsidR="009623AA">
        <w:t> </w:t>
      </w:r>
      <w:r w:rsidRPr="00BF5B9D">
        <w:t xml:space="preserve">2 </w:t>
      </w:r>
      <w:r w:rsidR="00C51FB2">
        <w:t xml:space="preserve">below </w:t>
      </w:r>
      <w:r w:rsidRPr="00BF5B9D">
        <w:t xml:space="preserve">expands on </w:t>
      </w:r>
      <w:proofErr w:type="gramStart"/>
      <w:r w:rsidRPr="00BF5B9D">
        <w:t xml:space="preserve">the </w:t>
      </w:r>
      <w:r w:rsidR="00A00DC0">
        <w:t>t</w:t>
      </w:r>
      <w:r w:rsidRPr="00BF5B9D">
        <w:t>able</w:t>
      </w:r>
      <w:proofErr w:type="gramEnd"/>
      <w:r w:rsidR="009623AA">
        <w:t> </w:t>
      </w:r>
      <w:r w:rsidRPr="00BF5B9D">
        <w:t>1 rubric to show an example of alternat</w:t>
      </w:r>
      <w:r w:rsidR="00C0109E">
        <w:t>ive</w:t>
      </w:r>
      <w:r w:rsidRPr="00BF5B9D">
        <w:t xml:space="preserve"> means of expression across and within the various levels of the rubric.</w:t>
      </w:r>
    </w:p>
    <w:p w14:paraId="7207B905" w14:textId="35FD4409" w:rsidR="000D44DC" w:rsidRDefault="00BF5B9D" w:rsidP="009B6C8B">
      <w:pPr>
        <w:pStyle w:val="Paragraph"/>
      </w:pPr>
      <w:r w:rsidRPr="009B6C8B">
        <w:rPr>
          <w:b/>
          <w:bCs/>
        </w:rPr>
        <w:t>Big Idea: Modeling with Functions and Comparing Models</w:t>
      </w:r>
      <w:r w:rsidR="009623AA" w:rsidRPr="009B6C8B">
        <w:rPr>
          <w:b/>
          <w:bCs/>
        </w:rPr>
        <w:t xml:space="preserve"> </w:t>
      </w:r>
      <w:r w:rsidRPr="009B6C8B">
        <w:rPr>
          <w:b/>
          <w:bCs/>
        </w:rPr>
        <w:t>Content Connections: Reasoning with Data and Exploring Changing Quantities Standard: A.CED.1:</w:t>
      </w:r>
      <w:r w:rsidRPr="00BF5B9D">
        <w:t xml:space="preserve"> Create equations and inequalities in one variable and use them to solve problems. </w:t>
      </w:r>
    </w:p>
    <w:p w14:paraId="52D9021A" w14:textId="7C407582" w:rsidR="00BA6348" w:rsidRPr="009B6C8B" w:rsidRDefault="00BA6348" w:rsidP="009B6C8B">
      <w:pPr>
        <w:pStyle w:val="TableTitle"/>
      </w:pPr>
      <w:r w:rsidRPr="009B6C8B">
        <w:lastRenderedPageBreak/>
        <w:t>Table 1. Proficiency Rubric Example</w:t>
      </w:r>
    </w:p>
    <w:tbl>
      <w:tblPr>
        <w:tblStyle w:val="TableGrid"/>
        <w:tblW w:w="9355" w:type="dxa"/>
        <w:tblLook w:val="04A0" w:firstRow="1" w:lastRow="0" w:firstColumn="1" w:lastColumn="0" w:noHBand="0" w:noVBand="1"/>
      </w:tblPr>
      <w:tblGrid>
        <w:gridCol w:w="1975"/>
        <w:gridCol w:w="7380"/>
      </w:tblGrid>
      <w:tr w:rsidR="00BF5B9D" w14:paraId="2D74B32F" w14:textId="77777777" w:rsidTr="00B02F50">
        <w:trPr>
          <w:trHeight w:val="406"/>
        </w:trPr>
        <w:tc>
          <w:tcPr>
            <w:tcW w:w="1975" w:type="dxa"/>
            <w:shd w:val="clear" w:color="auto" w:fill="246199" w:themeFill="accent5" w:themeFillShade="80"/>
            <w:vAlign w:val="center"/>
          </w:tcPr>
          <w:p w14:paraId="3EC86E12" w14:textId="670F2611" w:rsidR="00BF5B9D" w:rsidRPr="006B0F7E" w:rsidRDefault="00BF5B9D" w:rsidP="006B0F7E">
            <w:pPr>
              <w:pStyle w:val="TableHeaderRow"/>
            </w:pPr>
            <w:r>
              <w:t>Level</w:t>
            </w:r>
          </w:p>
        </w:tc>
        <w:tc>
          <w:tcPr>
            <w:tcW w:w="7380" w:type="dxa"/>
            <w:shd w:val="clear" w:color="auto" w:fill="246199" w:themeFill="accent5" w:themeFillShade="80"/>
            <w:vAlign w:val="center"/>
          </w:tcPr>
          <w:p w14:paraId="3333971B" w14:textId="77777777" w:rsidR="00BF5B9D" w:rsidRDefault="00BF5B9D" w:rsidP="006B0F7E">
            <w:pPr>
              <w:pStyle w:val="TableHeaderRow"/>
            </w:pPr>
            <w:r>
              <w:t>Success Criteria</w:t>
            </w:r>
          </w:p>
          <w:p w14:paraId="1D4C956B" w14:textId="77777777" w:rsidR="00BF5B9D" w:rsidRDefault="00BF5B9D" w:rsidP="006B0F7E">
            <w:pPr>
              <w:pStyle w:val="TableHeaderRow"/>
            </w:pPr>
            <w:r>
              <w:t>“The student demonstrates that they can…”</w:t>
            </w:r>
          </w:p>
          <w:p w14:paraId="2A338F91" w14:textId="7C50267B" w:rsidR="00BF5B9D" w:rsidRPr="00BF5B9D" w:rsidRDefault="00BF5B9D" w:rsidP="006B0F7E">
            <w:pPr>
              <w:pStyle w:val="TableHeaderRow"/>
              <w:rPr>
                <w:i/>
                <w:iCs/>
              </w:rPr>
            </w:pPr>
            <w:r w:rsidRPr="00BF5B9D">
              <w:rPr>
                <w:i/>
                <w:iCs/>
              </w:rPr>
              <w:t>Note</w:t>
            </w:r>
            <w:r w:rsidR="00BA6348">
              <w:rPr>
                <w:i/>
                <w:iCs/>
              </w:rPr>
              <w:t>—</w:t>
            </w:r>
            <w:r w:rsidRPr="00BF5B9D">
              <w:rPr>
                <w:i/>
                <w:iCs/>
              </w:rPr>
              <w:t>To receive a rating of “proficient</w:t>
            </w:r>
            <w:r w:rsidR="00EE39C3">
              <w:rPr>
                <w:i/>
                <w:iCs/>
              </w:rPr>
              <w:t>,</w:t>
            </w:r>
            <w:r w:rsidRPr="00BF5B9D">
              <w:rPr>
                <w:i/>
                <w:iCs/>
              </w:rPr>
              <w:t>”</w:t>
            </w:r>
            <w:r w:rsidR="00BA6348">
              <w:rPr>
                <w:i/>
                <w:iCs/>
              </w:rPr>
              <w:br/>
            </w:r>
            <w:r w:rsidRPr="00BF5B9D">
              <w:rPr>
                <w:i/>
                <w:iCs/>
              </w:rPr>
              <w:t>a student’s response would need evidence</w:t>
            </w:r>
            <w:r w:rsidR="00BA6348">
              <w:rPr>
                <w:i/>
                <w:iCs/>
              </w:rPr>
              <w:br/>
            </w:r>
            <w:r w:rsidRPr="00BF5B9D">
              <w:rPr>
                <w:i/>
                <w:iCs/>
              </w:rPr>
              <w:t>for each criteri</w:t>
            </w:r>
            <w:r w:rsidR="00EE39C3">
              <w:rPr>
                <w:i/>
                <w:iCs/>
              </w:rPr>
              <w:t>on</w:t>
            </w:r>
            <w:r w:rsidRPr="00BF5B9D">
              <w:rPr>
                <w:i/>
                <w:iCs/>
              </w:rPr>
              <w:t xml:space="preserve"> or element.</w:t>
            </w:r>
          </w:p>
        </w:tc>
      </w:tr>
      <w:tr w:rsidR="00BF5B9D" w14:paraId="1D956BA1" w14:textId="77777777" w:rsidTr="00B02F50">
        <w:tc>
          <w:tcPr>
            <w:tcW w:w="1975" w:type="dxa"/>
            <w:shd w:val="clear" w:color="auto" w:fill="E9F2FA" w:themeFill="accent5" w:themeFillTint="33"/>
          </w:tcPr>
          <w:p w14:paraId="710AD7D4" w14:textId="40D3405C" w:rsidR="00BF5B9D" w:rsidRPr="00C669D8" w:rsidRDefault="00BF5B9D" w:rsidP="00C35C3F">
            <w:pPr>
              <w:pStyle w:val="TableCategoryText"/>
            </w:pPr>
            <w:r>
              <w:t>Emerging</w:t>
            </w:r>
          </w:p>
        </w:tc>
        <w:tc>
          <w:tcPr>
            <w:tcW w:w="7380" w:type="dxa"/>
            <w:shd w:val="clear" w:color="auto" w:fill="FFFFFF" w:themeFill="background1"/>
          </w:tcPr>
          <w:p w14:paraId="152F2264" w14:textId="5D70B7F2" w:rsidR="00BF5B9D" w:rsidRPr="00BF5B9D" w:rsidRDefault="00BF5B9D" w:rsidP="00BF5B9D">
            <w:pPr>
              <w:pStyle w:val="TableBodyText"/>
            </w:pPr>
            <w:r w:rsidRPr="00BF5B9D">
              <w:t>Summarize the problem and identify the goal—what do we need to figure out?</w:t>
            </w:r>
          </w:p>
          <w:p w14:paraId="4806E457" w14:textId="5C0504BF" w:rsidR="00BF5B9D" w:rsidRPr="00C669D8" w:rsidRDefault="00BF5B9D" w:rsidP="00BF5B9D">
            <w:pPr>
              <w:pStyle w:val="TableBodyText"/>
            </w:pPr>
            <w:r w:rsidRPr="00BF5B9D">
              <w:t>Identify the relevant quantities in a situation</w:t>
            </w:r>
            <w:r w:rsidR="009623AA">
              <w:t>—w</w:t>
            </w:r>
            <w:r w:rsidRPr="00BF5B9D">
              <w:t>hat in the problem can we count or measure that could help us answer the question?</w:t>
            </w:r>
          </w:p>
        </w:tc>
      </w:tr>
      <w:tr w:rsidR="00BF5B9D" w14:paraId="63C5736D" w14:textId="77777777" w:rsidTr="00B02F50">
        <w:tc>
          <w:tcPr>
            <w:tcW w:w="1975" w:type="dxa"/>
            <w:shd w:val="clear" w:color="auto" w:fill="E9F2FA" w:themeFill="accent5" w:themeFillTint="33"/>
          </w:tcPr>
          <w:p w14:paraId="3DD6200C" w14:textId="2B7562A3" w:rsidR="00BF5B9D" w:rsidRPr="00C669D8" w:rsidRDefault="2B9D951E" w:rsidP="00C35C3F">
            <w:pPr>
              <w:pStyle w:val="TableCategoryText"/>
            </w:pPr>
            <w:r>
              <w:t>Approaching</w:t>
            </w:r>
          </w:p>
        </w:tc>
        <w:tc>
          <w:tcPr>
            <w:tcW w:w="7380" w:type="dxa"/>
            <w:shd w:val="clear" w:color="auto" w:fill="FFFFFF" w:themeFill="background1"/>
          </w:tcPr>
          <w:p w14:paraId="6F27771C" w14:textId="6A755E3D" w:rsidR="00BF5B9D" w:rsidRPr="00BF5B9D" w:rsidRDefault="00BF5B9D" w:rsidP="00BF5B9D">
            <w:pPr>
              <w:pStyle w:val="TableBodyText"/>
            </w:pPr>
            <w:r w:rsidRPr="00BF5B9D">
              <w:t>Identify the goal of the problem.</w:t>
            </w:r>
          </w:p>
          <w:p w14:paraId="34D5222E" w14:textId="05635F9A" w:rsidR="00A347B3" w:rsidRDefault="00BF5B9D" w:rsidP="00A347B3">
            <w:pPr>
              <w:pStyle w:val="TableBodyText"/>
            </w:pPr>
            <w:r w:rsidRPr="00BF5B9D">
              <w:t>Identify the relevant quantities in a situation and assign variables to represent them.</w:t>
            </w:r>
          </w:p>
          <w:p w14:paraId="4EDC406D" w14:textId="30BD60DA" w:rsidR="00A347B3" w:rsidRDefault="00A347B3" w:rsidP="00A347B3">
            <w:pPr>
              <w:pStyle w:val="TableBodyText"/>
            </w:pPr>
            <w:r>
              <w:t>Describe the mathematical relationship between two quantities</w:t>
            </w:r>
            <w:r w:rsidR="00D336C4">
              <w:t>.</w:t>
            </w:r>
          </w:p>
          <w:p w14:paraId="5A984C6B" w14:textId="6465E054" w:rsidR="00BF5B9D" w:rsidRPr="00C669D8" w:rsidRDefault="00BF5B9D" w:rsidP="00A347B3">
            <w:pPr>
              <w:pStyle w:val="TableBodyText"/>
            </w:pPr>
            <w:r w:rsidRPr="00BF5B9D">
              <w:t xml:space="preserve">Use variables and mathematical symbols to express the relationship between </w:t>
            </w:r>
            <w:r w:rsidR="00A347B3">
              <w:t xml:space="preserve">two </w:t>
            </w:r>
            <w:r w:rsidRPr="00BF5B9D">
              <w:t>quantities as an equation or inequality.</w:t>
            </w:r>
            <w:r>
              <w:t xml:space="preserve"> </w:t>
            </w:r>
          </w:p>
        </w:tc>
      </w:tr>
      <w:tr w:rsidR="00BF5B9D" w14:paraId="17FD9214" w14:textId="77777777" w:rsidTr="00B02F50">
        <w:tc>
          <w:tcPr>
            <w:tcW w:w="1975" w:type="dxa"/>
            <w:shd w:val="clear" w:color="auto" w:fill="E9F2FA" w:themeFill="accent5" w:themeFillTint="33"/>
          </w:tcPr>
          <w:p w14:paraId="7821D1E9" w14:textId="2E7503F7" w:rsidR="00BF5B9D" w:rsidRPr="00C669D8" w:rsidRDefault="00BF5B9D" w:rsidP="00C35C3F">
            <w:pPr>
              <w:pStyle w:val="TableCategoryText"/>
            </w:pPr>
            <w:r>
              <w:t>Proficient</w:t>
            </w:r>
          </w:p>
        </w:tc>
        <w:tc>
          <w:tcPr>
            <w:tcW w:w="7380" w:type="dxa"/>
            <w:shd w:val="clear" w:color="auto" w:fill="FFFFFF" w:themeFill="background1"/>
          </w:tcPr>
          <w:p w14:paraId="06B44113" w14:textId="6A9C61EF" w:rsidR="00BF5B9D" w:rsidRDefault="00BF5B9D" w:rsidP="00BF5B9D">
            <w:pPr>
              <w:pStyle w:val="TableBodyText"/>
            </w:pPr>
            <w:r w:rsidRPr="00BF5B9D">
              <w:t>Identify the relevant quantities in a situation</w:t>
            </w:r>
            <w:r w:rsidR="00EC7073">
              <w:t xml:space="preserve"> and assign variables to represent them</w:t>
            </w:r>
            <w:r w:rsidRPr="00BF5B9D">
              <w:t>.</w:t>
            </w:r>
          </w:p>
          <w:p w14:paraId="749856A5" w14:textId="46D9B190" w:rsidR="00A347B3" w:rsidRPr="00BF5B9D" w:rsidRDefault="00A347B3" w:rsidP="00BF5B9D">
            <w:pPr>
              <w:pStyle w:val="TableBodyText"/>
            </w:pPr>
            <w:r>
              <w:t>Describe the mathematical relationship between the two quantities</w:t>
            </w:r>
            <w:r w:rsidR="00D336C4">
              <w:t>.</w:t>
            </w:r>
          </w:p>
          <w:p w14:paraId="760BF118" w14:textId="41307300" w:rsidR="00A347B3" w:rsidRDefault="00A347B3" w:rsidP="00C35C3F">
            <w:pPr>
              <w:pStyle w:val="TableBodyText"/>
            </w:pPr>
            <w:r>
              <w:t>Use variables and mathematical symbols to express the relationship between two quantities as an equation or inequality</w:t>
            </w:r>
            <w:r w:rsidR="00BF5B9D" w:rsidRPr="00BF5B9D">
              <w:t>.</w:t>
            </w:r>
          </w:p>
          <w:p w14:paraId="447ED0F4" w14:textId="1D6B0440" w:rsidR="00BF5B9D" w:rsidRPr="00C669D8" w:rsidRDefault="4E14F671" w:rsidP="00C35C3F">
            <w:pPr>
              <w:pStyle w:val="TableBodyText"/>
            </w:pPr>
            <w:r>
              <w:t>Use the equation or inequality to solve the problem accurately.</w:t>
            </w:r>
            <w:r w:rsidR="009623AA">
              <w:t xml:space="preserve"> </w:t>
            </w:r>
            <w:r>
              <w:t>Identify the solution to the original problem.</w:t>
            </w:r>
          </w:p>
        </w:tc>
      </w:tr>
    </w:tbl>
    <w:p w14:paraId="589CACF0" w14:textId="3E1542CD" w:rsidR="00CC36BF" w:rsidRPr="00BF5B9D" w:rsidRDefault="00CC36BF" w:rsidP="009B6C8B">
      <w:pPr>
        <w:pStyle w:val="TableTitle"/>
      </w:pPr>
      <w:r>
        <w:lastRenderedPageBreak/>
        <w:t>Table 2. Sample Alternat</w:t>
      </w:r>
      <w:r w:rsidR="00C0109E">
        <w:t>ive</w:t>
      </w:r>
      <w:r>
        <w:t xml:space="preserve"> Means of Expression</w:t>
      </w:r>
      <w:r w:rsidRPr="00BF5B9D">
        <w:t xml:space="preserve"> </w:t>
      </w:r>
      <w:r w:rsidR="00C0109E">
        <w:t>Tied to Table</w:t>
      </w:r>
      <w:r w:rsidR="00BA6348">
        <w:t> </w:t>
      </w:r>
      <w:r w:rsidR="00C0109E">
        <w:t>1</w:t>
      </w:r>
    </w:p>
    <w:tbl>
      <w:tblPr>
        <w:tblStyle w:val="TableGrid"/>
        <w:tblW w:w="9355" w:type="dxa"/>
        <w:tblLook w:val="04A0" w:firstRow="1" w:lastRow="0" w:firstColumn="1" w:lastColumn="0" w:noHBand="0" w:noVBand="1"/>
      </w:tblPr>
      <w:tblGrid>
        <w:gridCol w:w="2245"/>
        <w:gridCol w:w="7110"/>
      </w:tblGrid>
      <w:tr w:rsidR="00CC36BF" w14:paraId="2DA638BD" w14:textId="77777777" w:rsidTr="00B02F50">
        <w:trPr>
          <w:cantSplit/>
          <w:trHeight w:val="406"/>
          <w:tblHeader/>
        </w:trPr>
        <w:tc>
          <w:tcPr>
            <w:tcW w:w="2245" w:type="dxa"/>
            <w:shd w:val="clear" w:color="auto" w:fill="246199" w:themeFill="accent5" w:themeFillShade="80"/>
            <w:vAlign w:val="center"/>
          </w:tcPr>
          <w:p w14:paraId="0DA369BA" w14:textId="77AF6B92" w:rsidR="00CC36BF" w:rsidRPr="006B0F7E" w:rsidRDefault="2B9D951E" w:rsidP="00EA5AA8">
            <w:pPr>
              <w:pStyle w:val="TableHeaderRow"/>
            </w:pPr>
            <w:r>
              <w:t xml:space="preserve">Proficiency </w:t>
            </w:r>
            <w:r w:rsidR="00BA6348">
              <w:t>s</w:t>
            </w:r>
            <w:r>
              <w:t xml:space="preserve">uccess </w:t>
            </w:r>
            <w:r w:rsidR="00BA6348">
              <w:t>c</w:t>
            </w:r>
            <w:r>
              <w:t>riteria</w:t>
            </w:r>
          </w:p>
        </w:tc>
        <w:tc>
          <w:tcPr>
            <w:tcW w:w="7110" w:type="dxa"/>
            <w:shd w:val="clear" w:color="auto" w:fill="246199" w:themeFill="accent5" w:themeFillShade="80"/>
            <w:vAlign w:val="center"/>
          </w:tcPr>
          <w:p w14:paraId="6E7C3265" w14:textId="49E9F597" w:rsidR="00CC36BF" w:rsidRPr="00BF5B9D" w:rsidRDefault="00CC36BF" w:rsidP="00EA5AA8">
            <w:pPr>
              <w:pStyle w:val="TableHeaderRow"/>
              <w:rPr>
                <w:i/>
                <w:iCs/>
              </w:rPr>
            </w:pPr>
            <w:r>
              <w:t xml:space="preserve">Example </w:t>
            </w:r>
            <w:r w:rsidR="00BA6348">
              <w:t>a</w:t>
            </w:r>
            <w:r>
              <w:t>lternat</w:t>
            </w:r>
            <w:r w:rsidR="00C0109E">
              <w:t>ive</w:t>
            </w:r>
            <w:r>
              <w:t xml:space="preserve"> </w:t>
            </w:r>
            <w:r w:rsidR="00BA6348">
              <w:t>m</w:t>
            </w:r>
            <w:r>
              <w:t xml:space="preserve">eans of </w:t>
            </w:r>
            <w:r w:rsidR="00BA6348">
              <w:t>e</w:t>
            </w:r>
            <w:r>
              <w:t xml:space="preserve">xpressing </w:t>
            </w:r>
            <w:r w:rsidR="00BA6348">
              <w:t>p</w:t>
            </w:r>
            <w:r>
              <w:t>roficiency</w:t>
            </w:r>
          </w:p>
        </w:tc>
      </w:tr>
      <w:tr w:rsidR="00291BD1" w14:paraId="64BF8AE0" w14:textId="77777777" w:rsidTr="00B02F50">
        <w:trPr>
          <w:cantSplit/>
          <w:trHeight w:val="6196"/>
        </w:trPr>
        <w:tc>
          <w:tcPr>
            <w:tcW w:w="2245" w:type="dxa"/>
            <w:shd w:val="clear" w:color="auto" w:fill="E9F2FA" w:themeFill="accent5" w:themeFillTint="33"/>
          </w:tcPr>
          <w:p w14:paraId="5CDB81CD" w14:textId="1B6C7EA3" w:rsidR="00291BD1" w:rsidRPr="00C669D8" w:rsidRDefault="00291BD1" w:rsidP="00EA5AA8">
            <w:pPr>
              <w:pStyle w:val="TableCategoryText"/>
              <w:keepLines/>
            </w:pPr>
            <w:r>
              <w:t>Identify the relevant quantities in a situation</w:t>
            </w:r>
          </w:p>
        </w:tc>
        <w:tc>
          <w:tcPr>
            <w:tcW w:w="7110" w:type="dxa"/>
            <w:shd w:val="clear" w:color="auto" w:fill="FFFFFF" w:themeFill="background1"/>
          </w:tcPr>
          <w:p w14:paraId="40A864AF" w14:textId="78E9E5C0" w:rsidR="00291BD1" w:rsidRDefault="00291BD1" w:rsidP="00EA5AA8">
            <w:pPr>
              <w:pStyle w:val="TableBodyText"/>
              <w:keepLines/>
            </w:pPr>
            <w:r w:rsidRPr="216E68F4">
              <w:t xml:space="preserve">The student could </w:t>
            </w:r>
            <w:r w:rsidRPr="216E68F4">
              <w:rPr>
                <w:b/>
                <w:bCs/>
              </w:rPr>
              <w:t>express</w:t>
            </w:r>
            <w:r w:rsidRPr="216E68F4">
              <w:t xml:space="preserve"> the goal of the problem and the relevant quantities using familiar vocabulary by</w:t>
            </w:r>
          </w:p>
          <w:p w14:paraId="172B653E" w14:textId="06013F66" w:rsidR="00291BD1" w:rsidRDefault="00291BD1" w:rsidP="00EA5AA8">
            <w:pPr>
              <w:pStyle w:val="TableBodyText"/>
              <w:keepLines/>
            </w:pPr>
            <w:r w:rsidRPr="216E68F4">
              <w:rPr>
                <w:b/>
                <w:bCs/>
              </w:rPr>
              <w:t>Verbally stating:</w:t>
            </w:r>
            <w:r w:rsidRPr="216E68F4">
              <w:t xml:space="preserve"> “We need to figure out how many months it will take Elias to get enough money to buy a car </w:t>
            </w:r>
            <w:proofErr w:type="gramStart"/>
            <w:r w:rsidRPr="216E68F4">
              <w:t>that costs</w:t>
            </w:r>
            <w:proofErr w:type="gramEnd"/>
            <w:r w:rsidRPr="216E68F4">
              <w:t xml:space="preserve"> $8,000, which means we have two quantities that we know and one we do</w:t>
            </w:r>
            <w:r w:rsidR="009623AA">
              <w:t xml:space="preserve"> not</w:t>
            </w:r>
            <w:r w:rsidRPr="216E68F4">
              <w:t xml:space="preserve">. The total </w:t>
            </w:r>
            <w:r>
              <w:t>(</w:t>
            </w:r>
            <w:r w:rsidRPr="216E68F4">
              <w:t>$8</w:t>
            </w:r>
            <w:r>
              <w:t>,</w:t>
            </w:r>
            <w:r w:rsidRPr="216E68F4">
              <w:t>000</w:t>
            </w:r>
            <w:r>
              <w:t>)</w:t>
            </w:r>
            <w:r w:rsidRPr="216E68F4">
              <w:t xml:space="preserve"> and how much Elias </w:t>
            </w:r>
            <w:proofErr w:type="gramStart"/>
            <w:r w:rsidRPr="216E68F4">
              <w:t>has to</w:t>
            </w:r>
            <w:proofErr w:type="gramEnd"/>
            <w:r w:rsidRPr="216E68F4">
              <w:t xml:space="preserve"> save each month </w:t>
            </w:r>
            <w:r>
              <w:t>(</w:t>
            </w:r>
            <w:r w:rsidRPr="216E68F4">
              <w:t>$300</w:t>
            </w:r>
            <w:r>
              <w:t>)</w:t>
            </w:r>
            <w:r w:rsidRPr="216E68F4">
              <w:t xml:space="preserve"> are ones we know</w:t>
            </w:r>
            <w:r>
              <w:t>,</w:t>
            </w:r>
            <w:r w:rsidRPr="216E68F4">
              <w:t xml:space="preserve"> and how many months it takes him is one we do</w:t>
            </w:r>
            <w:r w:rsidR="009623AA">
              <w:t xml:space="preserve"> not</w:t>
            </w:r>
            <w:r w:rsidRPr="216E68F4">
              <w:t xml:space="preserve"> know</w:t>
            </w:r>
            <w:r>
              <w:t>.</w:t>
            </w:r>
            <w:r w:rsidRPr="216E68F4">
              <w:t>”</w:t>
            </w:r>
          </w:p>
          <w:p w14:paraId="76D7C2ED" w14:textId="5B961071" w:rsidR="00291BD1" w:rsidRDefault="00291BD1" w:rsidP="00EA5AA8">
            <w:pPr>
              <w:pStyle w:val="TableBodyText"/>
              <w:keepLines/>
            </w:pPr>
            <w:r w:rsidRPr="216E68F4">
              <w:rPr>
                <w:b/>
                <w:bCs/>
              </w:rPr>
              <w:t xml:space="preserve">Typing a description of the goal and relevant quantities </w:t>
            </w:r>
            <w:r w:rsidR="009623AA">
              <w:rPr>
                <w:b/>
                <w:bCs/>
              </w:rPr>
              <w:t>o</w:t>
            </w:r>
            <w:r w:rsidRPr="216E68F4">
              <w:rPr>
                <w:b/>
                <w:bCs/>
              </w:rPr>
              <w:t xml:space="preserve">n a laptop or tablet </w:t>
            </w:r>
            <w:r w:rsidRPr="216E68F4">
              <w:t>for the teacher to read</w:t>
            </w:r>
            <w:r w:rsidR="006646E6">
              <w:t>.</w:t>
            </w:r>
          </w:p>
          <w:p w14:paraId="4E5E0245" w14:textId="1BC76646" w:rsidR="00291BD1" w:rsidRDefault="00291BD1" w:rsidP="00EA5AA8">
            <w:pPr>
              <w:pStyle w:val="TableBodyText"/>
              <w:keepLines/>
            </w:pPr>
            <w:r w:rsidRPr="216E68F4">
              <w:rPr>
                <w:b/>
                <w:bCs/>
              </w:rPr>
              <w:t>Using text</w:t>
            </w:r>
            <w:r>
              <w:rPr>
                <w:b/>
                <w:bCs/>
              </w:rPr>
              <w:t>-</w:t>
            </w:r>
            <w:r w:rsidRPr="216E68F4">
              <w:rPr>
                <w:b/>
                <w:bCs/>
              </w:rPr>
              <w:t>to</w:t>
            </w:r>
            <w:r>
              <w:rPr>
                <w:b/>
                <w:bCs/>
              </w:rPr>
              <w:t>-</w:t>
            </w:r>
            <w:r w:rsidRPr="216E68F4">
              <w:rPr>
                <w:b/>
                <w:bCs/>
              </w:rPr>
              <w:t xml:space="preserve">speech software that narrates </w:t>
            </w:r>
            <w:r w:rsidRPr="216E68F4">
              <w:t>what the student has written to the teacher</w:t>
            </w:r>
            <w:r w:rsidR="006646E6">
              <w:t>.</w:t>
            </w:r>
          </w:p>
          <w:p w14:paraId="289B3150" w14:textId="4BAB5D53" w:rsidR="00291BD1" w:rsidRPr="00C669D8" w:rsidRDefault="00291BD1" w:rsidP="00EA5AA8">
            <w:pPr>
              <w:pStyle w:val="TableBodyText"/>
              <w:keepLines/>
            </w:pPr>
            <w:r w:rsidRPr="216E68F4">
              <w:rPr>
                <w:b/>
                <w:bCs/>
              </w:rPr>
              <w:t xml:space="preserve">Recording themself stating the answer </w:t>
            </w:r>
            <w:r w:rsidRPr="216E68F4">
              <w:t xml:space="preserve">and then </w:t>
            </w:r>
            <w:r w:rsidRPr="216E68F4">
              <w:rPr>
                <w:b/>
                <w:bCs/>
              </w:rPr>
              <w:t>pressing play</w:t>
            </w:r>
            <w:r w:rsidRPr="216E68F4">
              <w:t xml:space="preserve"> to activate text</w:t>
            </w:r>
            <w:r>
              <w:t>-</w:t>
            </w:r>
            <w:r w:rsidRPr="216E68F4">
              <w:t>to</w:t>
            </w:r>
            <w:r>
              <w:t>-</w:t>
            </w:r>
            <w:r w:rsidRPr="216E68F4">
              <w:t>speech software</w:t>
            </w:r>
            <w:r w:rsidR="006646E6">
              <w:t>.</w:t>
            </w:r>
          </w:p>
        </w:tc>
      </w:tr>
      <w:tr w:rsidR="00CC36BF" w14:paraId="6847F9BB" w14:textId="77777777" w:rsidTr="00B02F50">
        <w:trPr>
          <w:cantSplit/>
        </w:trPr>
        <w:tc>
          <w:tcPr>
            <w:tcW w:w="2245" w:type="dxa"/>
            <w:shd w:val="clear" w:color="auto" w:fill="E9F2FA" w:themeFill="accent5" w:themeFillTint="33"/>
          </w:tcPr>
          <w:p w14:paraId="5DA60637" w14:textId="037F813B" w:rsidR="00CC36BF" w:rsidRPr="00C669D8" w:rsidRDefault="00CC36BF" w:rsidP="00B54684">
            <w:pPr>
              <w:pStyle w:val="TableCategoryText"/>
            </w:pPr>
            <w:r>
              <w:lastRenderedPageBreak/>
              <w:t>Describe the mathematical relationship between the quantities</w:t>
            </w:r>
          </w:p>
        </w:tc>
        <w:tc>
          <w:tcPr>
            <w:tcW w:w="7110" w:type="dxa"/>
            <w:shd w:val="clear" w:color="auto" w:fill="FFFFFF" w:themeFill="background1"/>
          </w:tcPr>
          <w:p w14:paraId="1E072DB1" w14:textId="24ADF6C0" w:rsidR="00CC36BF" w:rsidRDefault="00CC36BF" w:rsidP="00CC36BF">
            <w:pPr>
              <w:pStyle w:val="TableBodyText"/>
            </w:pPr>
            <w:r w:rsidRPr="40EE928E">
              <w:t>The student could express the quantities and their relationship by</w:t>
            </w:r>
          </w:p>
          <w:p w14:paraId="1470AC7B" w14:textId="3F87EE0B" w:rsidR="00CC36BF" w:rsidRDefault="00CC36BF" w:rsidP="00CC36BF">
            <w:pPr>
              <w:pStyle w:val="TableBodyText"/>
            </w:pPr>
            <w:r w:rsidRPr="5424931F">
              <w:rPr>
                <w:b/>
                <w:bCs/>
              </w:rPr>
              <w:t>Verbally stating:</w:t>
            </w:r>
            <w:r w:rsidRPr="5424931F">
              <w:t xml:space="preserve"> “The relationship between the quantities is that the $300 </w:t>
            </w:r>
            <w:proofErr w:type="gramStart"/>
            <w:r w:rsidRPr="5424931F">
              <w:t>has to</w:t>
            </w:r>
            <w:proofErr w:type="gramEnd"/>
            <w:r w:rsidRPr="5424931F">
              <w:t xml:space="preserve"> happen multiple times before Elias has the $8</w:t>
            </w:r>
            <w:r w:rsidR="00B535A9">
              <w:t>,</w:t>
            </w:r>
            <w:r w:rsidRPr="5424931F">
              <w:t>000 needed to buy the car. I need to figure out how many times that might be.”</w:t>
            </w:r>
          </w:p>
          <w:p w14:paraId="4195A19B" w14:textId="12EC25A1" w:rsidR="00CC36BF" w:rsidRDefault="00CC36BF" w:rsidP="00CC36BF">
            <w:pPr>
              <w:pStyle w:val="TableBodyText"/>
            </w:pPr>
            <w:r w:rsidRPr="5424931F">
              <w:rPr>
                <w:b/>
                <w:bCs/>
              </w:rPr>
              <w:t xml:space="preserve">Typing a description of the relationship </w:t>
            </w:r>
            <w:r w:rsidR="009623AA">
              <w:rPr>
                <w:b/>
                <w:bCs/>
              </w:rPr>
              <w:t>o</w:t>
            </w:r>
            <w:r w:rsidRPr="5424931F">
              <w:rPr>
                <w:b/>
                <w:bCs/>
              </w:rPr>
              <w:t xml:space="preserve">n a laptop or tablet </w:t>
            </w:r>
            <w:r w:rsidRPr="5424931F">
              <w:t>for the teacher to read</w:t>
            </w:r>
            <w:r w:rsidR="006646E6">
              <w:t>.</w:t>
            </w:r>
          </w:p>
          <w:p w14:paraId="2465969F" w14:textId="25ED9658" w:rsidR="00CC36BF" w:rsidRDefault="00CC36BF" w:rsidP="00CC36BF">
            <w:pPr>
              <w:pStyle w:val="TableBodyText"/>
            </w:pPr>
            <w:r w:rsidRPr="5424931F">
              <w:rPr>
                <w:b/>
                <w:bCs/>
              </w:rPr>
              <w:t>Using</w:t>
            </w:r>
            <w:r w:rsidRPr="5424931F">
              <w:t xml:space="preserve"> </w:t>
            </w:r>
            <w:r w:rsidRPr="5424931F">
              <w:rPr>
                <w:b/>
                <w:bCs/>
              </w:rPr>
              <w:t>speech</w:t>
            </w:r>
            <w:r>
              <w:rPr>
                <w:b/>
                <w:bCs/>
              </w:rPr>
              <w:t>-</w:t>
            </w:r>
            <w:r w:rsidRPr="5424931F">
              <w:rPr>
                <w:b/>
                <w:bCs/>
              </w:rPr>
              <w:t>to</w:t>
            </w:r>
            <w:r>
              <w:rPr>
                <w:b/>
                <w:bCs/>
              </w:rPr>
              <w:t>-</w:t>
            </w:r>
            <w:r w:rsidRPr="5424931F">
              <w:rPr>
                <w:b/>
                <w:bCs/>
              </w:rPr>
              <w:t>text/text</w:t>
            </w:r>
            <w:r>
              <w:rPr>
                <w:b/>
                <w:bCs/>
              </w:rPr>
              <w:t>-</w:t>
            </w:r>
            <w:r w:rsidRPr="5424931F">
              <w:rPr>
                <w:b/>
                <w:bCs/>
              </w:rPr>
              <w:t>to</w:t>
            </w:r>
            <w:r>
              <w:rPr>
                <w:b/>
                <w:bCs/>
              </w:rPr>
              <w:t>-</w:t>
            </w:r>
            <w:r w:rsidRPr="5424931F">
              <w:rPr>
                <w:b/>
                <w:bCs/>
              </w:rPr>
              <w:t>speech software</w:t>
            </w:r>
            <w:r w:rsidR="0090180A" w:rsidRPr="009623AA">
              <w:t>.</w:t>
            </w:r>
          </w:p>
          <w:p w14:paraId="35B12793" w14:textId="0DE9E875" w:rsidR="00CC36BF" w:rsidRPr="00C669D8" w:rsidRDefault="00CC36BF" w:rsidP="00CC36BF">
            <w:pPr>
              <w:pStyle w:val="TableBodyText"/>
            </w:pPr>
            <w:r w:rsidRPr="216E68F4">
              <w:rPr>
                <w:b/>
                <w:bCs/>
              </w:rPr>
              <w:t xml:space="preserve">Creating a table or diagram </w:t>
            </w:r>
            <w:r w:rsidRPr="216E68F4">
              <w:t>to show the relationship between the quantities</w:t>
            </w:r>
            <w:r w:rsidR="006646E6">
              <w:t>.</w:t>
            </w:r>
          </w:p>
        </w:tc>
      </w:tr>
      <w:tr w:rsidR="00CC36BF" w14:paraId="06864484" w14:textId="77777777" w:rsidTr="00B02F50">
        <w:trPr>
          <w:cantSplit/>
        </w:trPr>
        <w:tc>
          <w:tcPr>
            <w:tcW w:w="2245" w:type="dxa"/>
            <w:shd w:val="clear" w:color="auto" w:fill="E9F2FA" w:themeFill="accent5" w:themeFillTint="33"/>
          </w:tcPr>
          <w:p w14:paraId="2C447824" w14:textId="086C5CB8" w:rsidR="00CC36BF" w:rsidRPr="00C669D8" w:rsidRDefault="00CC36BF" w:rsidP="00B54684">
            <w:pPr>
              <w:pStyle w:val="TableCategoryText"/>
            </w:pPr>
            <w:r>
              <w:lastRenderedPageBreak/>
              <w:t>Use variables and mathematical symbols to create an equation or inequalities that represent the relationship</w:t>
            </w:r>
          </w:p>
        </w:tc>
        <w:tc>
          <w:tcPr>
            <w:tcW w:w="7110" w:type="dxa"/>
            <w:shd w:val="clear" w:color="auto" w:fill="FFFFFF" w:themeFill="background1"/>
          </w:tcPr>
          <w:p w14:paraId="61B6CB45" w14:textId="402DC068" w:rsidR="00CC36BF" w:rsidRDefault="00CC36BF" w:rsidP="00CC36BF">
            <w:pPr>
              <w:pStyle w:val="TableBodyText"/>
            </w:pPr>
            <w:r w:rsidRPr="5424931F">
              <w:t>The student could communicate the connection between the mathematical symbols and the variables to show the equation or inequality represented by</w:t>
            </w:r>
          </w:p>
          <w:p w14:paraId="3CA0FC6B" w14:textId="28F5ADCD" w:rsidR="00CC36BF" w:rsidRDefault="00CC36BF" w:rsidP="00CC36BF">
            <w:pPr>
              <w:pStyle w:val="TableBodyText"/>
            </w:pPr>
            <w:r w:rsidRPr="505BAD7B">
              <w:rPr>
                <w:b/>
                <w:bCs/>
              </w:rPr>
              <w:t xml:space="preserve">Creating a picture </w:t>
            </w:r>
            <w:r w:rsidRPr="505BAD7B">
              <w:t>of the problem that connects the quantities and variables with symbolic representations</w:t>
            </w:r>
            <w:r w:rsidR="006646E6">
              <w:t>.</w:t>
            </w:r>
          </w:p>
          <w:p w14:paraId="0700735C" w14:textId="74196B9C" w:rsidR="00CC36BF" w:rsidRDefault="00CC36BF" w:rsidP="00CC36BF">
            <w:pPr>
              <w:pStyle w:val="TableBodyText"/>
            </w:pPr>
            <w:r w:rsidRPr="40EE928E">
              <w:rPr>
                <w:b/>
                <w:bCs/>
              </w:rPr>
              <w:t xml:space="preserve">Designing a presentation </w:t>
            </w:r>
            <w:r w:rsidRPr="40EE928E">
              <w:t>with the equation or inequality and how each symbol and quantity represents the relationship</w:t>
            </w:r>
            <w:r w:rsidR="006646E6">
              <w:t>.</w:t>
            </w:r>
          </w:p>
          <w:p w14:paraId="375645C6" w14:textId="4A864B9E" w:rsidR="00CC36BF" w:rsidRDefault="00CC36BF" w:rsidP="00CC36BF">
            <w:pPr>
              <w:pStyle w:val="TableBodyText"/>
            </w:pPr>
            <w:r w:rsidRPr="7F67E8E7">
              <w:rPr>
                <w:b/>
                <w:bCs/>
              </w:rPr>
              <w:t>Demonstrating the problem by</w:t>
            </w:r>
            <w:r w:rsidRPr="7F67E8E7">
              <w:t xml:space="preserve"> </w:t>
            </w:r>
            <w:r w:rsidRPr="7F67E8E7">
              <w:rPr>
                <w:b/>
                <w:bCs/>
              </w:rPr>
              <w:t>arranging a set of cards</w:t>
            </w:r>
            <w:r w:rsidRPr="7F67E8E7">
              <w:t xml:space="preserve"> depicting a </w:t>
            </w:r>
            <w:r w:rsidR="00E40CA2">
              <w:t>selection</w:t>
            </w:r>
            <w:r w:rsidRPr="7F67E8E7">
              <w:t xml:space="preserve"> of numbers, variables, and mathematical symbols</w:t>
            </w:r>
            <w:r w:rsidR="00291BD1">
              <w:t xml:space="preserve"> </w:t>
            </w:r>
            <w:r w:rsidR="00291BD1" w:rsidRPr="00291BD1">
              <w:t>(</w:t>
            </w:r>
            <w:r w:rsidR="009623AA">
              <w:t>for example</w:t>
            </w:r>
            <w:r w:rsidR="00291BD1" w:rsidRPr="00291BD1">
              <w:t>,</w:t>
            </w:r>
            <w:r w:rsidR="009623AA">
              <w:t> </w:t>
            </w:r>
            <w:r w:rsidR="00291BD1" w:rsidRPr="00291BD1">
              <w:t>+,</w:t>
            </w:r>
            <w:r w:rsidR="009623AA">
              <w:t> </w:t>
            </w:r>
            <w:r w:rsidR="00291BD1" w:rsidRPr="00291BD1">
              <w:t>-,</w:t>
            </w:r>
            <w:r w:rsidR="009623AA">
              <w:t> </w:t>
            </w:r>
            <w:r w:rsidR="00291BD1" w:rsidRPr="00291BD1">
              <w:t>=,</w:t>
            </w:r>
            <w:r w:rsidR="009623AA">
              <w:t> </w:t>
            </w:r>
            <w:r w:rsidR="00291BD1" w:rsidRPr="00291BD1">
              <w:t>≥)</w:t>
            </w:r>
            <w:r w:rsidR="00291BD1" w:rsidRPr="00291BD1" w:rsidDel="00291BD1">
              <w:t xml:space="preserve"> </w:t>
            </w:r>
            <w:r w:rsidRPr="7F67E8E7">
              <w:rPr>
                <w:b/>
                <w:bCs/>
              </w:rPr>
              <w:t>on a desk or board to create an equation</w:t>
            </w:r>
            <w:r w:rsidRPr="7F67E8E7">
              <w:t xml:space="preserve"> </w:t>
            </w:r>
            <w:r w:rsidRPr="7F67E8E7">
              <w:rPr>
                <w:b/>
                <w:bCs/>
              </w:rPr>
              <w:t>or inequality</w:t>
            </w:r>
            <w:r w:rsidRPr="7F67E8E7">
              <w:t xml:space="preserve"> that accurately represents a mathematical relationship and could be used to solve the problem</w:t>
            </w:r>
            <w:r w:rsidRPr="7F67E8E7">
              <w:rPr>
                <w:i/>
                <w:iCs/>
              </w:rPr>
              <w:t xml:space="preserve"> </w:t>
            </w:r>
            <w:r w:rsidRPr="009623AA">
              <w:t>(</w:t>
            </w:r>
            <w:r w:rsidRPr="7F67E8E7">
              <w:rPr>
                <w:i/>
                <w:iCs/>
              </w:rPr>
              <w:t>see graphic below</w:t>
            </w:r>
            <w:r w:rsidRPr="009623AA">
              <w:t>).</w:t>
            </w:r>
          </w:p>
          <w:p w14:paraId="51A3732C" w14:textId="03BF7CFF" w:rsidR="00CC36BF" w:rsidRPr="00C669D8" w:rsidRDefault="00CC36BF" w:rsidP="00CC36BF">
            <w:pPr>
              <w:pStyle w:val="TableBodyText"/>
            </w:pPr>
            <w:r>
              <w:rPr>
                <w:noProof/>
              </w:rPr>
              <w:drawing>
                <wp:inline distT="0" distB="0" distL="0" distR="0" wp14:anchorId="642B01B9" wp14:editId="057F3BCE">
                  <wp:extent cx="2246544" cy="1268361"/>
                  <wp:effectExtent l="0" t="0" r="1905" b="1905"/>
                  <wp:docPr id="382060236" name="Picture 382060236" descr="An assortment of moveable cards depicting various dollar amounts, variables, and mathematical symbols (plus sign, minus sign, division sign, multiplication sign, equals sign, greater than or equal to sign). At the bottom, arrows indicate how someone might select and move around the cards to form the expression “300M &gt;= 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60236" name="Picture 382060236" descr="An assortment of moveable cards depicting various dollar amounts, variables, and mathematical symbols (plus sign, minus sign, division sign, multiplication sign, equals sign, greater than or equal to sign). At the bottom, arrows indicate how someone might select and move around the cards to form the expression “300M &gt;= 8000”."/>
                          <pic:cNvPicPr/>
                        </pic:nvPicPr>
                        <pic:blipFill>
                          <a:blip r:embed="rId15">
                            <a:extLst>
                              <a:ext uri="{28A0092B-C50C-407E-A947-70E740481C1C}">
                                <a14:useLocalDpi xmlns:a14="http://schemas.microsoft.com/office/drawing/2010/main" val="0"/>
                              </a:ext>
                            </a:extLst>
                          </a:blip>
                          <a:stretch>
                            <a:fillRect/>
                          </a:stretch>
                        </pic:blipFill>
                        <pic:spPr>
                          <a:xfrm>
                            <a:off x="0" y="0"/>
                            <a:ext cx="2249549" cy="1270057"/>
                          </a:xfrm>
                          <a:prstGeom prst="rect">
                            <a:avLst/>
                          </a:prstGeom>
                        </pic:spPr>
                      </pic:pic>
                    </a:graphicData>
                  </a:graphic>
                </wp:inline>
              </w:drawing>
            </w:r>
          </w:p>
        </w:tc>
      </w:tr>
      <w:tr w:rsidR="00CC36BF" w14:paraId="3C5140D0" w14:textId="77777777" w:rsidTr="00B02F50">
        <w:trPr>
          <w:cantSplit/>
        </w:trPr>
        <w:tc>
          <w:tcPr>
            <w:tcW w:w="2245" w:type="dxa"/>
            <w:shd w:val="clear" w:color="auto" w:fill="E9F2FA" w:themeFill="accent5" w:themeFillTint="33"/>
          </w:tcPr>
          <w:p w14:paraId="6CC13193" w14:textId="6BFEE34B" w:rsidR="00CC36BF" w:rsidRDefault="00CC36BF" w:rsidP="00B54684">
            <w:pPr>
              <w:pStyle w:val="TableCategoryText"/>
            </w:pPr>
            <w:r>
              <w:lastRenderedPageBreak/>
              <w:t>Use the equation or inequalities to solve the problem</w:t>
            </w:r>
          </w:p>
        </w:tc>
        <w:tc>
          <w:tcPr>
            <w:tcW w:w="7110" w:type="dxa"/>
            <w:shd w:val="clear" w:color="auto" w:fill="FFFFFF" w:themeFill="background1"/>
          </w:tcPr>
          <w:p w14:paraId="1A46BFE7" w14:textId="0B120226" w:rsidR="00CC36BF" w:rsidRDefault="00CC36BF" w:rsidP="00CC36BF">
            <w:pPr>
              <w:pStyle w:val="TableBodyText"/>
            </w:pPr>
            <w:r w:rsidRPr="5424931F">
              <w:t>The student could express the solution by</w:t>
            </w:r>
          </w:p>
          <w:p w14:paraId="273CCEC5" w14:textId="748DBC33" w:rsidR="00CC36BF" w:rsidRDefault="00CC36BF" w:rsidP="00CC36BF">
            <w:pPr>
              <w:pStyle w:val="TableBodyText"/>
            </w:pPr>
            <w:r w:rsidRPr="5424931F">
              <w:rPr>
                <w:b/>
                <w:bCs/>
              </w:rPr>
              <w:t>Talking through the equation or inequality verbally</w:t>
            </w:r>
            <w:r w:rsidRPr="5424931F">
              <w:t xml:space="preserve"> </w:t>
            </w:r>
            <w:r w:rsidRPr="000B5A4A">
              <w:rPr>
                <w:b/>
                <w:bCs/>
              </w:rPr>
              <w:t>by stating:</w:t>
            </w:r>
            <w:r w:rsidRPr="5424931F">
              <w:t xml:space="preserve"> “If</w:t>
            </w:r>
            <w:r w:rsidR="009623AA">
              <w:t> </w:t>
            </w:r>
            <w:r w:rsidRPr="000B5A4A">
              <w:rPr>
                <w:i/>
                <w:iCs/>
              </w:rPr>
              <w:t>m</w:t>
            </w:r>
            <w:r w:rsidRPr="5424931F">
              <w:t xml:space="preserve"> is 10, then he has 10</w:t>
            </w:r>
            <w:r w:rsidR="009623AA">
              <w:t> </w:t>
            </w:r>
            <w:r w:rsidRPr="5424931F">
              <w:t>*</w:t>
            </w:r>
            <w:r w:rsidR="009623AA">
              <w:t> </w:t>
            </w:r>
            <w:r w:rsidRPr="5424931F">
              <w:t>$300, or</w:t>
            </w:r>
            <w:r w:rsidR="009623AA">
              <w:t> </w:t>
            </w:r>
            <w:r w:rsidRPr="5424931F">
              <w:t>$3,000. So that</w:t>
            </w:r>
            <w:r w:rsidR="009623AA">
              <w:t xml:space="preserve"> i</w:t>
            </w:r>
            <w:r w:rsidRPr="5424931F">
              <w:t>s not enough</w:t>
            </w:r>
            <w:r w:rsidR="009623AA">
              <w:t>;</w:t>
            </w:r>
            <w:r w:rsidRPr="5424931F">
              <w:t xml:space="preserve"> 20</w:t>
            </w:r>
            <w:r w:rsidR="009623AA">
              <w:t> </w:t>
            </w:r>
            <w:r w:rsidRPr="5424931F">
              <w:t>*</w:t>
            </w:r>
            <w:r w:rsidR="009623AA">
              <w:t> </w:t>
            </w:r>
            <w:r w:rsidRPr="5424931F">
              <w:t>$300 is</w:t>
            </w:r>
            <w:r w:rsidR="009623AA">
              <w:t> </w:t>
            </w:r>
            <w:r w:rsidRPr="5424931F">
              <w:t>$6,000, which is still not enough</w:t>
            </w:r>
            <w:r w:rsidR="009623AA">
              <w:t>;</w:t>
            </w:r>
            <w:r w:rsidRPr="5424931F">
              <w:t xml:space="preserve"> 30</w:t>
            </w:r>
            <w:r w:rsidR="009623AA">
              <w:t> </w:t>
            </w:r>
            <w:r w:rsidRPr="5424931F">
              <w:t>*</w:t>
            </w:r>
            <w:r w:rsidR="009623AA">
              <w:t> </w:t>
            </w:r>
            <w:r w:rsidRPr="5424931F">
              <w:t>$300</w:t>
            </w:r>
            <w:r w:rsidR="009623AA">
              <w:t> </w:t>
            </w:r>
            <w:r w:rsidRPr="5424931F">
              <w:t>=</w:t>
            </w:r>
            <w:r w:rsidR="009623AA">
              <w:t> </w:t>
            </w:r>
            <w:r w:rsidRPr="5424931F">
              <w:t>$9,000. That means by 30</w:t>
            </w:r>
            <w:r w:rsidR="009623AA">
              <w:t> </w:t>
            </w:r>
            <w:r w:rsidRPr="5424931F">
              <w:t>months</w:t>
            </w:r>
            <w:r w:rsidR="000E0D70">
              <w:t>,</w:t>
            </w:r>
            <w:r w:rsidRPr="5424931F">
              <w:t xml:space="preserve"> </w:t>
            </w:r>
            <w:r w:rsidR="00291BD1" w:rsidRPr="00291BD1">
              <w:t>he has enough plus extra</w:t>
            </w:r>
            <w:r w:rsidRPr="5424931F">
              <w:t xml:space="preserve">, so the answer </w:t>
            </w:r>
            <w:proofErr w:type="gramStart"/>
            <w:r w:rsidRPr="5424931F">
              <w:t>has to</w:t>
            </w:r>
            <w:proofErr w:type="gramEnd"/>
            <w:r w:rsidRPr="5424931F">
              <w:t xml:space="preserve"> be between 20 and 30</w:t>
            </w:r>
            <w:r w:rsidR="009623AA">
              <w:t>—</w:t>
            </w:r>
            <w:r w:rsidRPr="5424931F">
              <w:t>25</w:t>
            </w:r>
            <w:r w:rsidR="009623AA">
              <w:t> </w:t>
            </w:r>
            <w:r w:rsidRPr="5424931F">
              <w:t>*</w:t>
            </w:r>
            <w:r w:rsidR="009623AA">
              <w:t> </w:t>
            </w:r>
            <w:r w:rsidRPr="5424931F">
              <w:t>$300 is</w:t>
            </w:r>
            <w:r w:rsidR="009623AA">
              <w:t> </w:t>
            </w:r>
            <w:r w:rsidRPr="5424931F">
              <w:t>$7,500</w:t>
            </w:r>
            <w:r>
              <w:t>—</w:t>
            </w:r>
            <w:r w:rsidRPr="5424931F">
              <w:t>close</w:t>
            </w:r>
            <w:r w:rsidR="000E0D70">
              <w:t>,</w:t>
            </w:r>
            <w:r w:rsidRPr="5424931F">
              <w:t xml:space="preserve"> but not quite enough. In one more month, he’ll have $7,500</w:t>
            </w:r>
            <w:r w:rsidR="009623AA">
              <w:t> </w:t>
            </w:r>
            <w:r w:rsidRPr="5424931F">
              <w:t>+</w:t>
            </w:r>
            <w:r w:rsidR="009623AA">
              <w:t> </w:t>
            </w:r>
            <w:r w:rsidRPr="5424931F">
              <w:t>$300 or</w:t>
            </w:r>
            <w:r w:rsidR="009623AA">
              <w:t> </w:t>
            </w:r>
            <w:r w:rsidRPr="5424931F">
              <w:t>$7,800, and then in one more month</w:t>
            </w:r>
            <w:r w:rsidR="000E0D70">
              <w:t>,</w:t>
            </w:r>
            <w:r w:rsidRPr="5424931F">
              <w:t xml:space="preserve"> he’ll have $7,800</w:t>
            </w:r>
            <w:r w:rsidR="009623AA">
              <w:t> </w:t>
            </w:r>
            <w:r w:rsidRPr="5424931F">
              <w:t>+</w:t>
            </w:r>
            <w:r w:rsidR="009623AA">
              <w:t> </w:t>
            </w:r>
            <w:r w:rsidRPr="5424931F">
              <w:t>$300 or</w:t>
            </w:r>
            <w:r w:rsidR="009623AA">
              <w:t> </w:t>
            </w:r>
            <w:r w:rsidRPr="5424931F">
              <w:t>$8,100. That</w:t>
            </w:r>
            <w:r w:rsidR="009623AA">
              <w:t xml:space="preserve"> is</w:t>
            </w:r>
            <w:r w:rsidRPr="5424931F">
              <w:t xml:space="preserve"> more than $8,000. So</w:t>
            </w:r>
            <w:r>
              <w:t>,</w:t>
            </w:r>
            <w:r w:rsidRPr="5424931F">
              <w:t xml:space="preserve"> let’s see</w:t>
            </w:r>
            <w:r>
              <w:t>;</w:t>
            </w:r>
            <w:r w:rsidRPr="5424931F">
              <w:t xml:space="preserve"> 25</w:t>
            </w:r>
            <w:r w:rsidR="009623AA">
              <w:t> </w:t>
            </w:r>
            <w:r w:rsidRPr="5424931F">
              <w:t>plus two more months is</w:t>
            </w:r>
            <w:r w:rsidR="009623AA">
              <w:t> </w:t>
            </w:r>
            <w:r w:rsidRPr="5424931F">
              <w:t xml:space="preserve">27. </w:t>
            </w:r>
            <w:r>
              <w:t>I</w:t>
            </w:r>
            <w:r w:rsidRPr="5424931F">
              <w:t>t will take Elias at least 27</w:t>
            </w:r>
            <w:r w:rsidR="009623AA">
              <w:t> </w:t>
            </w:r>
            <w:r w:rsidRPr="5424931F">
              <w:t>months to have enough money to buy the car</w:t>
            </w:r>
            <w:r w:rsidR="009623AA">
              <w:t>—</w:t>
            </w:r>
            <w:r>
              <w:rPr>
                <w:i/>
                <w:iCs/>
              </w:rPr>
              <w:t>m</w:t>
            </w:r>
            <w:r w:rsidR="009623AA">
              <w:rPr>
                <w:i/>
                <w:iCs/>
              </w:rPr>
              <w:t> </w:t>
            </w:r>
            <w:r w:rsidRPr="5424931F">
              <w:t>*</w:t>
            </w:r>
            <w:r w:rsidR="009623AA">
              <w:t> </w:t>
            </w:r>
            <w:r w:rsidRPr="5424931F">
              <w:t>300</w:t>
            </w:r>
            <w:r w:rsidR="009623AA">
              <w:t> </w:t>
            </w:r>
            <w:r w:rsidRPr="5424931F">
              <w:t>≥</w:t>
            </w:r>
            <w:r w:rsidR="009623AA">
              <w:t> </w:t>
            </w:r>
            <w:r w:rsidRPr="5424931F">
              <w:t>8</w:t>
            </w:r>
            <w:r w:rsidR="009623AA">
              <w:t>,</w:t>
            </w:r>
            <w:r w:rsidRPr="5424931F">
              <w:t>000</w:t>
            </w:r>
            <w:r w:rsidR="009623AA">
              <w:t>—</w:t>
            </w:r>
            <w:r>
              <w:rPr>
                <w:i/>
                <w:iCs/>
              </w:rPr>
              <w:t>m</w:t>
            </w:r>
            <w:r w:rsidRPr="5424931F">
              <w:t xml:space="preserve"> would be 27 or higher.”</w:t>
            </w:r>
          </w:p>
          <w:p w14:paraId="62D52AD7" w14:textId="5E93B259" w:rsidR="00CC36BF" w:rsidRDefault="00CC36BF" w:rsidP="00CC36BF">
            <w:pPr>
              <w:pStyle w:val="TableBodyText"/>
            </w:pPr>
            <w:r w:rsidRPr="5424931F">
              <w:rPr>
                <w:b/>
                <w:bCs/>
              </w:rPr>
              <w:t>Verbally describing this equation while also arranging and rearranging additional cards</w:t>
            </w:r>
            <w:r w:rsidRPr="5424931F">
              <w:t xml:space="preserve"> from the previous set (</w:t>
            </w:r>
            <w:r w:rsidR="009623AA">
              <w:t>for example</w:t>
            </w:r>
            <w:r>
              <w:t>,</w:t>
            </w:r>
            <w:r w:rsidRPr="5424931F">
              <w:t xml:space="preserve"> 10,</w:t>
            </w:r>
            <w:r w:rsidR="009623AA">
              <w:t> </w:t>
            </w:r>
            <w:r w:rsidRPr="5424931F">
              <w:t>+,</w:t>
            </w:r>
            <w:r w:rsidR="009623AA">
              <w:t> </w:t>
            </w:r>
            <w:r w:rsidRPr="5424931F">
              <w:t>=) to complete the equation</w:t>
            </w:r>
            <w:r w:rsidR="006646E6">
              <w:t>.</w:t>
            </w:r>
          </w:p>
          <w:p w14:paraId="26D95AB1" w14:textId="715C988D" w:rsidR="00CC36BF" w:rsidRDefault="00CC36BF" w:rsidP="00CC36BF">
            <w:pPr>
              <w:pStyle w:val="TableBodyText"/>
            </w:pPr>
            <w:r w:rsidRPr="67858309">
              <w:rPr>
                <w:b/>
                <w:bCs/>
              </w:rPr>
              <w:t>Illustrating the guess-and-check method with concrete representations</w:t>
            </w:r>
            <w:r w:rsidRPr="67858309">
              <w:t xml:space="preserve"> to determine the numerical solution by drawing it, writing it, or using manipulatives (</w:t>
            </w:r>
            <w:r w:rsidR="009623AA">
              <w:t>for example</w:t>
            </w:r>
            <w:r w:rsidR="00AF5930">
              <w:t xml:space="preserve">, </w:t>
            </w:r>
            <w:r w:rsidRPr="67858309">
              <w:t>base-ten blocks, $100</w:t>
            </w:r>
            <w:r w:rsidR="009623AA">
              <w:t> </w:t>
            </w:r>
            <w:r w:rsidRPr="67858309">
              <w:t>bills</w:t>
            </w:r>
            <w:r w:rsidR="00AF5930">
              <w:t>)</w:t>
            </w:r>
            <w:r w:rsidR="006646E6">
              <w:t>.</w:t>
            </w:r>
          </w:p>
          <w:p w14:paraId="4A97CAF0" w14:textId="36A9D4B7" w:rsidR="00CC36BF" w:rsidRPr="00BF5B9D" w:rsidRDefault="00CC36BF" w:rsidP="00CC36BF">
            <w:pPr>
              <w:pStyle w:val="TableBodyText"/>
            </w:pPr>
            <w:r w:rsidRPr="11FE3CD4">
              <w:rPr>
                <w:b/>
                <w:bCs/>
              </w:rPr>
              <w:t>Using an input-output table</w:t>
            </w:r>
            <w:r w:rsidRPr="11FE3CD4">
              <w:t xml:space="preserve"> to solve the problem and show</w:t>
            </w:r>
            <w:r w:rsidR="000E0D70">
              <w:t>ing</w:t>
            </w:r>
            <w:r w:rsidRPr="11FE3CD4">
              <w:t xml:space="preserve"> the solution to the problem</w:t>
            </w:r>
            <w:r w:rsidR="006646E6">
              <w:t>.</w:t>
            </w:r>
          </w:p>
        </w:tc>
      </w:tr>
      <w:tr w:rsidR="00CC36BF" w14:paraId="2FD1DC8C" w14:textId="77777777" w:rsidTr="00B02F50">
        <w:trPr>
          <w:cantSplit/>
        </w:trPr>
        <w:tc>
          <w:tcPr>
            <w:tcW w:w="2245" w:type="dxa"/>
            <w:shd w:val="clear" w:color="auto" w:fill="E9F2FA" w:themeFill="accent5" w:themeFillTint="33"/>
          </w:tcPr>
          <w:p w14:paraId="2A5D8DAA" w14:textId="132C96FB" w:rsidR="00CC36BF" w:rsidRDefault="00CC36BF" w:rsidP="00B54684">
            <w:pPr>
              <w:pStyle w:val="TableCategoryText"/>
            </w:pPr>
            <w:r>
              <w:lastRenderedPageBreak/>
              <w:t>Identify the answer to the original question</w:t>
            </w:r>
          </w:p>
        </w:tc>
        <w:tc>
          <w:tcPr>
            <w:tcW w:w="7110" w:type="dxa"/>
            <w:shd w:val="clear" w:color="auto" w:fill="FFFFFF" w:themeFill="background1"/>
          </w:tcPr>
          <w:p w14:paraId="705BB44E" w14:textId="77777777" w:rsidR="00CC36BF" w:rsidRPr="00CC36BF" w:rsidRDefault="00CC36BF" w:rsidP="006C0F9C">
            <w:pPr>
              <w:pStyle w:val="TableBodyText"/>
            </w:pPr>
            <w:r w:rsidRPr="00CC36BF">
              <w:t>The student could communicate the answer by:</w:t>
            </w:r>
          </w:p>
          <w:p w14:paraId="0920F4FF" w14:textId="5975132D" w:rsidR="00CC36BF" w:rsidRPr="00CC36BF" w:rsidRDefault="00CC36BF" w:rsidP="006C0F9C">
            <w:pPr>
              <w:pStyle w:val="TableBodyText"/>
            </w:pPr>
            <w:r w:rsidRPr="00AF5930">
              <w:rPr>
                <w:b/>
                <w:bCs/>
              </w:rPr>
              <w:t>Verbally stating</w:t>
            </w:r>
            <w:r w:rsidRPr="00CC36BF">
              <w:t>: “It will take Elias at least 27</w:t>
            </w:r>
            <w:r w:rsidR="009623AA">
              <w:t> </w:t>
            </w:r>
            <w:r w:rsidRPr="00CC36BF">
              <w:t>months to have enough money to buy the car</w:t>
            </w:r>
            <w:r w:rsidR="009623AA">
              <w:t>—</w:t>
            </w:r>
            <w:r w:rsidRPr="00291BD1">
              <w:rPr>
                <w:i/>
                <w:iCs/>
              </w:rPr>
              <w:t>m</w:t>
            </w:r>
            <w:r w:rsidR="009623AA">
              <w:t> </w:t>
            </w:r>
            <w:r w:rsidRPr="00CC36BF">
              <w:t>*</w:t>
            </w:r>
            <w:r w:rsidR="009623AA">
              <w:t> </w:t>
            </w:r>
            <w:r w:rsidRPr="00CC36BF">
              <w:t>300</w:t>
            </w:r>
            <w:r w:rsidR="009623AA">
              <w:t> </w:t>
            </w:r>
            <w:r w:rsidRPr="00CC36BF">
              <w:t>≥</w:t>
            </w:r>
            <w:r w:rsidR="009623AA">
              <w:t> </w:t>
            </w:r>
            <w:r w:rsidRPr="00CC36BF">
              <w:t>8</w:t>
            </w:r>
            <w:r w:rsidR="009623AA">
              <w:t>,</w:t>
            </w:r>
            <w:r w:rsidRPr="00CC36BF">
              <w:t>000</w:t>
            </w:r>
            <w:r w:rsidR="009623AA">
              <w:t>—</w:t>
            </w:r>
            <w:r w:rsidRPr="00291BD1">
              <w:rPr>
                <w:i/>
                <w:iCs/>
              </w:rPr>
              <w:t>m</w:t>
            </w:r>
            <w:r w:rsidRPr="00CC36BF">
              <w:t xml:space="preserve"> would be 27</w:t>
            </w:r>
            <w:r w:rsidR="009623AA">
              <w:t> </w:t>
            </w:r>
            <w:r w:rsidRPr="00CC36BF">
              <w:t>months or more.”</w:t>
            </w:r>
          </w:p>
          <w:p w14:paraId="50639A66" w14:textId="2C524C45" w:rsidR="00CC36BF" w:rsidRPr="00CC36BF" w:rsidRDefault="00CC36BF" w:rsidP="006C0F9C">
            <w:pPr>
              <w:pStyle w:val="TableBodyText"/>
            </w:pPr>
            <w:r w:rsidRPr="00AF5930">
              <w:rPr>
                <w:b/>
                <w:bCs/>
              </w:rPr>
              <w:t>Recording the answer</w:t>
            </w:r>
            <w:r w:rsidRPr="00CC36BF">
              <w:t xml:space="preserve"> and pressing play</w:t>
            </w:r>
            <w:r w:rsidR="006646E6">
              <w:t>.</w:t>
            </w:r>
          </w:p>
          <w:p w14:paraId="18272B00" w14:textId="7B6D8BEC" w:rsidR="00CC36BF" w:rsidRPr="00CC36BF" w:rsidRDefault="00CC36BF" w:rsidP="006C0F9C">
            <w:pPr>
              <w:pStyle w:val="TableBodyText"/>
            </w:pPr>
            <w:r w:rsidRPr="00AF5930">
              <w:rPr>
                <w:b/>
                <w:bCs/>
              </w:rPr>
              <w:t>Using text-to-speech software</w:t>
            </w:r>
            <w:r w:rsidRPr="00CC36BF">
              <w:t xml:space="preserve"> to type the answer and say it</w:t>
            </w:r>
            <w:r w:rsidR="009623AA">
              <w:t>.</w:t>
            </w:r>
          </w:p>
          <w:p w14:paraId="31A960B7" w14:textId="6C44BA19" w:rsidR="00CC36BF" w:rsidRPr="00CC36BF" w:rsidRDefault="00CC36BF" w:rsidP="006C0F9C">
            <w:pPr>
              <w:pStyle w:val="TableBodyText"/>
            </w:pPr>
            <w:r w:rsidRPr="00AF5930">
              <w:rPr>
                <w:b/>
                <w:bCs/>
              </w:rPr>
              <w:t xml:space="preserve">Arranging </w:t>
            </w:r>
            <w:r w:rsidR="00EC7073">
              <w:rPr>
                <w:b/>
                <w:bCs/>
              </w:rPr>
              <w:t>a set of</w:t>
            </w:r>
            <w:r w:rsidR="00EC7073" w:rsidRPr="00AF5930">
              <w:rPr>
                <w:b/>
                <w:bCs/>
              </w:rPr>
              <w:t xml:space="preserve"> </w:t>
            </w:r>
            <w:r w:rsidRPr="00AF5930">
              <w:rPr>
                <w:b/>
                <w:bCs/>
              </w:rPr>
              <w:t>cards</w:t>
            </w:r>
            <w:r w:rsidRPr="00CC36BF">
              <w:t xml:space="preserve"> to display the answer</w:t>
            </w:r>
            <w:r w:rsidR="006646E6">
              <w:t>.</w:t>
            </w:r>
          </w:p>
          <w:p w14:paraId="62108BD9" w14:textId="23A4326A" w:rsidR="00CC36BF" w:rsidRPr="00CC36BF" w:rsidRDefault="00CC36BF" w:rsidP="006C0F9C">
            <w:pPr>
              <w:pStyle w:val="TableBodyText"/>
            </w:pPr>
            <w:r w:rsidRPr="00AF5930">
              <w:rPr>
                <w:b/>
                <w:bCs/>
              </w:rPr>
              <w:t>Illustrating</w:t>
            </w:r>
            <w:r w:rsidRPr="00CC36BF">
              <w:t xml:space="preserve"> the answer using </w:t>
            </w:r>
            <w:r w:rsidRPr="00AF5930">
              <w:rPr>
                <w:b/>
                <w:bCs/>
              </w:rPr>
              <w:t>concrete</w:t>
            </w:r>
            <w:r w:rsidRPr="00CC36BF">
              <w:t xml:space="preserve"> </w:t>
            </w:r>
            <w:r w:rsidRPr="00AF5930">
              <w:rPr>
                <w:b/>
                <w:bCs/>
              </w:rPr>
              <w:t>representations</w:t>
            </w:r>
            <w:r w:rsidR="006646E6" w:rsidRPr="006646E6">
              <w:t>.</w:t>
            </w:r>
          </w:p>
        </w:tc>
      </w:tr>
    </w:tbl>
    <w:p w14:paraId="53E3FA17" w14:textId="34131D2A" w:rsidR="00947AA8" w:rsidRDefault="2B9D951E" w:rsidP="009B6C8B">
      <w:pPr>
        <w:pStyle w:val="Paragraph-AfterList"/>
      </w:pPr>
      <w:r>
        <w:t xml:space="preserve">These two tables demonstrate achieving the balance between flexible approaches to expressing learning and maintaining the rigor of the content by using a proficiency rubric that expands the measurement options. One proficiency rubric can assess more than one standard: for example, a cluster of standards in a Big Idea. This flexibility can support students with </w:t>
      </w:r>
      <w:r w:rsidR="00C0109E">
        <w:t xml:space="preserve">disabilities </w:t>
      </w:r>
      <w:r>
        <w:t xml:space="preserve">to demonstrate proficiency in a preferred expression medium, thus allowing the student to achieve credit toward a standard high school diploma and successfully transition to college and career environments. </w:t>
      </w:r>
    </w:p>
    <w:p w14:paraId="64A38C77" w14:textId="4966C084" w:rsidR="00947AA8" w:rsidRDefault="766A2EA5" w:rsidP="00BE3BCF">
      <w:pPr>
        <w:pStyle w:val="Heading2C-Withinflow"/>
      </w:pPr>
      <w:r>
        <w:t xml:space="preserve">Conclusion </w:t>
      </w:r>
    </w:p>
    <w:p w14:paraId="0C43AACA" w14:textId="77777777" w:rsidR="006C0F9C" w:rsidRDefault="00CC36BF" w:rsidP="006C0F9C">
      <w:pPr>
        <w:pStyle w:val="Paragraph"/>
        <w:sectPr w:rsidR="006C0F9C" w:rsidSect="006C0F9C">
          <w:pgSz w:w="12240" w:h="15840"/>
          <w:pgMar w:top="1627" w:right="1440" w:bottom="1264" w:left="1440" w:header="431" w:footer="459" w:gutter="0"/>
          <w:pgNumType w:start="1"/>
          <w:cols w:space="720"/>
          <w:docGrid w:linePitch="326"/>
        </w:sectPr>
      </w:pPr>
      <w:r w:rsidRPr="00CC36BF">
        <w:t>Implementing alternat</w:t>
      </w:r>
      <w:r w:rsidR="00C0109E">
        <w:t>ive</w:t>
      </w:r>
      <w:r w:rsidRPr="00CC36BF">
        <w:t xml:space="preserve"> means of expression rooted in proficiency rubrics offers a viable solution to support students with </w:t>
      </w:r>
      <w:r w:rsidR="00C0109E">
        <w:t>disabilities</w:t>
      </w:r>
      <w:r w:rsidR="00C0109E" w:rsidRPr="00CC36BF">
        <w:t xml:space="preserve"> </w:t>
      </w:r>
      <w:r w:rsidRPr="00CC36BF">
        <w:t>in achieving credit toward graduation in Algebra</w:t>
      </w:r>
      <w:r w:rsidR="00BA6348">
        <w:t> </w:t>
      </w:r>
      <w:r w:rsidRPr="00CC36BF">
        <w:t>I or Math</w:t>
      </w:r>
      <w:r w:rsidR="00925686">
        <w:t>ematics</w:t>
      </w:r>
      <w:r w:rsidR="00BA6348">
        <w:t> </w:t>
      </w:r>
      <w:r w:rsidRPr="00CC36BF">
        <w:t>I. Traditional measures such as quizzes and tests may create inequities and restrict the individualization of educational programming for these students. Proficiency rubrics provide greater flexibility by allowing alternat</w:t>
      </w:r>
      <w:r w:rsidR="00C0109E">
        <w:t>ive</w:t>
      </w:r>
      <w:r w:rsidRPr="00CC36BF">
        <w:t xml:space="preserve"> means of expression for demonstrating proficiency beyond traditional test formats. By clearly defining success criteria aligned with learning objectives and involving collaborative development, teachers can design varied ways through which students with different </w:t>
      </w:r>
      <w:r w:rsidRPr="00CC36BF">
        <w:lastRenderedPageBreak/>
        <w:t xml:space="preserve">strengths, abilities, backgrounds, and preferences can demonstrate their understanding. This approach promotes self-regulation, motivation, </w:t>
      </w:r>
      <w:r w:rsidR="00033091">
        <w:t xml:space="preserve">and </w:t>
      </w:r>
      <w:r w:rsidRPr="00CC36BF">
        <w:t>engagement while reducing dependence on teachers. Overall, incorporating alternat</w:t>
      </w:r>
      <w:r w:rsidR="00C0109E">
        <w:t>ive</w:t>
      </w:r>
      <w:r w:rsidRPr="00CC36BF">
        <w:t xml:space="preserve"> means of expression using proficiency rubrics into math courses supports inclusivity and helps pave the way for successful transitions to college and career environments.</w:t>
      </w:r>
    </w:p>
    <w:p w14:paraId="2354E2E6" w14:textId="6D2EE48C" w:rsidR="00CC36BF" w:rsidRDefault="00CC36BF" w:rsidP="006C0F9C">
      <w:pPr>
        <w:pStyle w:val="Heading2B-Startofnewpage"/>
      </w:pPr>
      <w:r w:rsidRPr="2FA15694">
        <w:lastRenderedPageBreak/>
        <w:t>References</w:t>
      </w:r>
    </w:p>
    <w:p w14:paraId="25ABD37E" w14:textId="2360305B" w:rsidR="009E6306" w:rsidRPr="009E6306" w:rsidRDefault="009E6306" w:rsidP="009E6306">
      <w:pPr>
        <w:spacing w:after="240"/>
      </w:pPr>
      <w:r w:rsidRPr="009E6306">
        <w:t xml:space="preserve">Brookhart, S. M. 2013. </w:t>
      </w:r>
      <w:r w:rsidRPr="00291BD1">
        <w:rPr>
          <w:i/>
          <w:iCs/>
        </w:rPr>
        <w:t>How to Create and Use Rubrics for Formative Assessment and Grading</w:t>
      </w:r>
      <w:r w:rsidRPr="009E6306">
        <w:t xml:space="preserve">. </w:t>
      </w:r>
      <w:r w:rsidR="001E6655">
        <w:t>Alexandria, VA</w:t>
      </w:r>
      <w:r w:rsidRPr="009E6306">
        <w:t>: ASCD.</w:t>
      </w:r>
    </w:p>
    <w:p w14:paraId="4BDD5640" w14:textId="626B94F3" w:rsidR="009E6306" w:rsidRPr="009E6306" w:rsidRDefault="009E6306" w:rsidP="009E6306">
      <w:pPr>
        <w:spacing w:after="240"/>
      </w:pPr>
      <w:r w:rsidRPr="009E6306">
        <w:t>California Department of Education</w:t>
      </w:r>
      <w:r w:rsidR="007D4F4F">
        <w:t>.</w:t>
      </w:r>
      <w:r w:rsidRPr="009E6306">
        <w:t xml:space="preserve"> 2023. </w:t>
      </w:r>
      <w:r w:rsidRPr="00AF5930">
        <w:rPr>
          <w:i/>
          <w:iCs/>
        </w:rPr>
        <w:t>2023 California Mathematics Framework</w:t>
      </w:r>
      <w:r w:rsidRPr="009E6306">
        <w:t xml:space="preserve">. </w:t>
      </w:r>
      <w:r w:rsidR="00C51FB2">
        <w:t xml:space="preserve">Sacramento, CA: California Department of Education. </w:t>
      </w:r>
      <w:hyperlink r:id="rId16" w:history="1">
        <w:r w:rsidR="00C51FB2" w:rsidRPr="00C51FB2">
          <w:rPr>
            <w:rStyle w:val="Hyperlink"/>
          </w:rPr>
          <w:t>https://www.cde.ca.gov/ci/ma/cf/</w:t>
        </w:r>
      </w:hyperlink>
      <w:r w:rsidRPr="009E6306">
        <w:t xml:space="preserve">. </w:t>
      </w:r>
    </w:p>
    <w:p w14:paraId="0542A80D" w14:textId="30807A75" w:rsidR="009E6306" w:rsidRPr="007D4F4F" w:rsidRDefault="009E6306" w:rsidP="009E6306">
      <w:pPr>
        <w:spacing w:after="240"/>
      </w:pPr>
      <w:r w:rsidRPr="009E6306">
        <w:t xml:space="preserve">Leich, M. 2023. </w:t>
      </w:r>
      <w:r w:rsidR="00BA6348">
        <w:t>“</w:t>
      </w:r>
      <w:r w:rsidRPr="009E6306">
        <w:t>Equitable Grading: Strategies to Create a Fair and Just Grading System.</w:t>
      </w:r>
      <w:r w:rsidR="00BA6348">
        <w:t>”</w:t>
      </w:r>
      <w:r w:rsidRPr="009E6306">
        <w:t xml:space="preserve"> Webinar recorded by </w:t>
      </w:r>
      <w:proofErr w:type="spellStart"/>
      <w:r w:rsidRPr="00BA6348">
        <w:rPr>
          <w:i/>
          <w:iCs/>
        </w:rPr>
        <w:t>EdWeb</w:t>
      </w:r>
      <w:proofErr w:type="spellEnd"/>
      <w:r w:rsidRPr="009E6306">
        <w:t xml:space="preserve"> on May 15, 2023. </w:t>
      </w:r>
      <w:hyperlink r:id="rId17" w:history="1">
        <w:r w:rsidR="007D4F4F" w:rsidRPr="007D4F4F">
          <w:rPr>
            <w:rStyle w:val="Hyperlink"/>
          </w:rPr>
          <w:t>https://home.edweb.net/webinar/dei20230515/</w:t>
        </w:r>
      </w:hyperlink>
      <w:r w:rsidR="007D4F4F">
        <w:t>.</w:t>
      </w:r>
    </w:p>
    <w:p w14:paraId="5E5BF226" w14:textId="6C787A38" w:rsidR="766A2EA5" w:rsidRDefault="009E6306" w:rsidP="006C0F9C">
      <w:pPr>
        <w:spacing w:after="240"/>
      </w:pPr>
      <w:r w:rsidRPr="009E6306">
        <w:t xml:space="preserve">Townsley, M., and N. L. Wear. 2020. </w:t>
      </w:r>
      <w:r w:rsidRPr="00291BD1">
        <w:rPr>
          <w:i/>
          <w:iCs/>
        </w:rPr>
        <w:t>Making Grades Matter: Standards-Based Grading in Secondary PLC at Work</w:t>
      </w:r>
      <w:r w:rsidRPr="009E6306">
        <w:t xml:space="preserve">. </w:t>
      </w:r>
      <w:r w:rsidR="001E6655">
        <w:t>Bloomington, IN</w:t>
      </w:r>
      <w:r w:rsidRPr="009E6306">
        <w:t>: Solution Tree.</w:t>
      </w:r>
    </w:p>
    <w:sectPr w:rsidR="766A2EA5" w:rsidSect="006C0F9C">
      <w:pgSz w:w="12240" w:h="15840"/>
      <w:pgMar w:top="1627" w:right="1440" w:bottom="1264" w:left="1440" w:header="431" w:footer="4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DF2F0" w14:textId="77777777" w:rsidR="0061493B" w:rsidRDefault="0061493B">
      <w:r>
        <w:separator/>
      </w:r>
    </w:p>
  </w:endnote>
  <w:endnote w:type="continuationSeparator" w:id="0">
    <w:p w14:paraId="1E5C5B3E" w14:textId="77777777" w:rsidR="0061493B" w:rsidRDefault="0061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4" w14:textId="77777777" w:rsidR="00D80A11" w:rsidRDefault="00D80A11">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3" w14:textId="5243CC4C" w:rsidR="00D80A11" w:rsidRPr="006C0F9C" w:rsidRDefault="00924042" w:rsidP="00B02F50">
    <w:pPr>
      <w:pStyle w:val="Footer"/>
      <w:ind w:left="450"/>
    </w:pPr>
    <w:r w:rsidRPr="00B02F50">
      <w:rPr>
        <w:i/>
        <w:iCs/>
        <w:noProof/>
      </w:rPr>
      <w:drawing>
        <wp:anchor distT="0" distB="0" distL="114300" distR="114300" simplePos="0" relativeHeight="251680768" behindDoc="0" locked="0" layoutInCell="1" allowOverlap="1" wp14:anchorId="2DC671FA" wp14:editId="4B204556">
          <wp:simplePos x="0" y="0"/>
          <wp:positionH relativeFrom="column">
            <wp:posOffset>-405245</wp:posOffset>
          </wp:positionH>
          <wp:positionV relativeFrom="paragraph">
            <wp:posOffset>-267266</wp:posOffset>
          </wp:positionV>
          <wp:extent cx="581890" cy="616648"/>
          <wp:effectExtent l="0" t="0" r="8890" b="0"/>
          <wp:wrapNone/>
          <wp:docPr id="112780579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805795"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021" cy="621025"/>
                  </a:xfrm>
                  <a:prstGeom prst="rect">
                    <a:avLst/>
                  </a:prstGeom>
                </pic:spPr>
              </pic:pic>
            </a:graphicData>
          </a:graphic>
          <wp14:sizeRelH relativeFrom="margin">
            <wp14:pctWidth>0</wp14:pctWidth>
          </wp14:sizeRelH>
          <wp14:sizeRelV relativeFrom="margin">
            <wp14:pctHeight>0</wp14:pctHeight>
          </wp14:sizeRelV>
        </wp:anchor>
      </w:drawing>
    </w:r>
    <w:r w:rsidRPr="00B02F50">
      <w:rPr>
        <w:i/>
        <w:iCs/>
      </w:rPr>
      <w:t>Funded by the California Department of Education, Special Education Division</w:t>
    </w:r>
    <w:r w:rsidRPr="006C0F9C">
      <w:tab/>
    </w:r>
    <w:sdt>
      <w:sdtPr>
        <w:id w:val="1915510788"/>
        <w:docPartObj>
          <w:docPartGallery w:val="Page Numbers (Bottom of Page)"/>
          <w:docPartUnique/>
        </w:docPartObj>
      </w:sdtPr>
      <w:sdtContent>
        <w:r w:rsidRPr="006C0F9C">
          <w:fldChar w:fldCharType="begin"/>
        </w:r>
        <w:r w:rsidRPr="006C0F9C">
          <w:instrText xml:space="preserve"> PAGE   \* MERGEFORMAT </w:instrText>
        </w:r>
        <w:r w:rsidRPr="006C0F9C">
          <w:fldChar w:fldCharType="separate"/>
        </w:r>
        <w:r w:rsidRPr="006C0F9C">
          <w:t>2</w:t>
        </w:r>
        <w:r w:rsidRPr="006C0F9C">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102586"/>
      <w:docPartObj>
        <w:docPartGallery w:val="Page Numbers (Bottom of Page)"/>
        <w:docPartUnique/>
      </w:docPartObj>
    </w:sdtPr>
    <w:sdtEndPr>
      <w:rPr>
        <w:noProof/>
      </w:rPr>
    </w:sdtEndPr>
    <w:sdtContent>
      <w:bookmarkStart w:id="0" w:name="_Hlk171682292" w:displacedByCustomXml="prev"/>
      <w:p w14:paraId="1D44E894" w14:textId="77777777" w:rsidR="00924042" w:rsidRDefault="00924042" w:rsidP="00924042">
        <w:pPr>
          <w:pStyle w:val="Footer"/>
          <w:ind w:right="360" w:firstLine="360"/>
          <w:jc w:val="right"/>
        </w:pPr>
      </w:p>
      <w:p w14:paraId="00000165" w14:textId="7FD7D132" w:rsidR="00D80A11" w:rsidRPr="00924042" w:rsidRDefault="00924042" w:rsidP="00924042">
        <w:pPr>
          <w:pStyle w:val="Footer"/>
          <w:ind w:right="360" w:firstLine="360"/>
          <w:jc w:val="center"/>
        </w:pPr>
        <w:r>
          <w:rPr>
            <w:noProof/>
          </w:rPr>
          <w:drawing>
            <wp:anchor distT="0" distB="0" distL="114300" distR="114300" simplePos="0" relativeHeight="251678720" behindDoc="0" locked="0" layoutInCell="1" allowOverlap="1" wp14:anchorId="7F38C39B" wp14:editId="1C9A0503">
              <wp:simplePos x="0" y="0"/>
              <wp:positionH relativeFrom="column">
                <wp:posOffset>-405245</wp:posOffset>
              </wp:positionH>
              <wp:positionV relativeFrom="paragraph">
                <wp:posOffset>-267266</wp:posOffset>
              </wp:positionV>
              <wp:extent cx="581890" cy="616648"/>
              <wp:effectExtent l="0" t="0" r="8890" b="0"/>
              <wp:wrapNone/>
              <wp:docPr id="137809568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95688"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021" cy="621025"/>
                      </a:xfrm>
                      <a:prstGeom prst="rect">
                        <a:avLst/>
                      </a:prstGeom>
                    </pic:spPr>
                  </pic:pic>
                </a:graphicData>
              </a:graphic>
              <wp14:sizeRelH relativeFrom="margin">
                <wp14:pctWidth>0</wp14:pctWidth>
              </wp14:sizeRelH>
              <wp14:sizeRelV relativeFrom="margin">
                <wp14:pctHeight>0</wp14:pctHeight>
              </wp14:sizeRelV>
            </wp:anchor>
          </w:drawing>
        </w:r>
        <w:r>
          <w:rPr>
            <w:i/>
            <w:iCs/>
          </w:rPr>
          <w:t>Funded by the California Department of Education, Special Education Division</w:t>
        </w:r>
        <w:r>
          <w:rPr>
            <w:i/>
            <w:iCs/>
          </w:rPr>
          <w:tab/>
        </w:r>
      </w:p>
      <w:bookmarkEnd w:id="0"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CB52C" w14:textId="77777777" w:rsidR="0061493B" w:rsidRDefault="0061493B">
      <w:r>
        <w:separator/>
      </w:r>
    </w:p>
  </w:footnote>
  <w:footnote w:type="continuationSeparator" w:id="0">
    <w:p w14:paraId="6B62826A" w14:textId="77777777" w:rsidR="0061493B" w:rsidRDefault="00614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2" w14:textId="5893A24E" w:rsidR="00D80A11" w:rsidRDefault="00000000">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rFonts w:ascii="Calibri" w:hAnsi="Calibri"/>
        <w:noProof/>
        <w:color w:val="auto"/>
      </w:rPr>
      <w:pict w14:anchorId="32C67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16676" o:spid="_x0000_s1027" type="#_x0000_t136" alt="" style="position:absolute;margin-left:0;margin-top:0;width:494.9pt;height:164.95pt;rotation:315;z-index:-2516316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1" w14:textId="436E4BC0" w:rsidR="00D80A11" w:rsidRDefault="006A1DB6">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noProof/>
      </w:rPr>
      <mc:AlternateContent>
        <mc:Choice Requires="wps">
          <w:drawing>
            <wp:anchor distT="0" distB="0" distL="114300" distR="114300" simplePos="0" relativeHeight="251671552" behindDoc="0" locked="0" layoutInCell="1" allowOverlap="1" wp14:anchorId="5FD3C5BD" wp14:editId="71DF4779">
              <wp:simplePos x="0" y="0"/>
              <wp:positionH relativeFrom="column">
                <wp:posOffset>-914400</wp:posOffset>
              </wp:positionH>
              <wp:positionV relativeFrom="paragraph">
                <wp:posOffset>-413385</wp:posOffset>
              </wp:positionV>
              <wp:extent cx="7797800" cy="1294765"/>
              <wp:effectExtent l="0" t="0" r="0" b="635"/>
              <wp:wrapSquare wrapText="bothSides"/>
              <wp:docPr id="6" name="Text Box 6"/>
              <wp:cNvGraphicFramePr/>
              <a:graphic xmlns:a="http://schemas.openxmlformats.org/drawingml/2006/main">
                <a:graphicData uri="http://schemas.microsoft.com/office/word/2010/wordprocessingShape">
                  <wps:wsp>
                    <wps:cNvSpPr txBox="1"/>
                    <wps:spPr>
                      <a:xfrm>
                        <a:off x="0" y="0"/>
                        <a:ext cx="7797800" cy="1294765"/>
                      </a:xfrm>
                      <a:prstGeom prst="rect">
                        <a:avLst/>
                      </a:prstGeom>
                      <a:noFill/>
                      <a:ln w="6350">
                        <a:noFill/>
                      </a:ln>
                    </wps:spPr>
                    <wps:txbx>
                      <w:txbxContent>
                        <w:p w14:paraId="06D71033" w14:textId="299A865D" w:rsidR="006A1DB6" w:rsidRPr="006A1DB6" w:rsidRDefault="00CF214A" w:rsidP="00593416">
                          <w:pPr>
                            <w:rPr>
                              <w:noProof/>
                              <w:color w:val="FFFFFF" w:themeColor="background1"/>
                              <w14:textFill>
                                <w14:noFill/>
                              </w14:textFill>
                            </w:rPr>
                          </w:pPr>
                          <w:r w:rsidRPr="006A1DB6">
                            <w:rPr>
                              <w:noProof/>
                              <w:color w:val="FFFFFF" w:themeColor="background1"/>
                              <w14:textFill>
                                <w14:noFill/>
                              </w14:textFill>
                            </w:rPr>
                            <w:drawing>
                              <wp:inline distT="0" distB="0" distL="0" distR="0" wp14:anchorId="1F90B734" wp14:editId="72161B20">
                                <wp:extent cx="7769741" cy="1142608"/>
                                <wp:effectExtent l="0" t="0" r="3175" b="635"/>
                                <wp:docPr id="1812732750" name="Picture 18127327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732750" name="Picture 181273275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9741" cy="1142608"/>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3C5BD" id="_x0000_t202" coordsize="21600,21600" o:spt="202" path="m,l,21600r21600,l21600,xe">
              <v:stroke joinstyle="miter"/>
              <v:path gradientshapeok="t" o:connecttype="rect"/>
            </v:shapetype>
            <v:shape id="Text Box 6" o:spid="_x0000_s1026" type="#_x0000_t202" style="position:absolute;left:0;text-align:left;margin-left:-1in;margin-top:-32.55pt;width:614pt;height:10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" filled="f" stroked="f" strokeweight=".5pt">
              <v:textbox inset="0,0,0,0">
                <w:txbxContent>
                  <w:p w14:paraId="06D71033" w14:textId="299A865D" w:rsidR="006A1DB6" w:rsidRPr="006A1DB6" w:rsidRDefault="00CF214A" w:rsidP="00593416">
                    <w:pPr>
                      <w:rPr>
                        <w:noProof/>
                        <w:color w:val="FFFFFF" w:themeColor="background1"/>
                        <w14:textFill>
                          <w14:noFill/>
                        </w14:textFill>
                      </w:rPr>
                    </w:pPr>
                    <w:r w:rsidRPr="006A1DB6">
                      <w:rPr>
                        <w:noProof/>
                        <w:color w:val="FFFFFF" w:themeColor="background1"/>
                        <w14:textFill>
                          <w14:noFill/>
                        </w14:textFill>
                      </w:rPr>
                      <w:drawing>
                        <wp:inline distT="0" distB="0" distL="0" distR="0" wp14:anchorId="1F90B734" wp14:editId="72161B20">
                          <wp:extent cx="7769741" cy="1142608"/>
                          <wp:effectExtent l="0" t="0" r="3175" b="635"/>
                          <wp:docPr id="1812732750" name="Picture 18127327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732750" name="Picture 181273275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769741" cy="1142608"/>
                                  </a:xfrm>
                                  <a:prstGeom prst="rect">
                                    <a:avLst/>
                                  </a:prstGeom>
                                </pic:spPr>
                              </pic:pic>
                            </a:graphicData>
                          </a:graphic>
                        </wp:inline>
                      </w:drawing>
                    </w:r>
                  </w:p>
                </w:txbxContent>
              </v:textbox>
              <w10:wrap type="square"/>
            </v:shape>
          </w:pict>
        </mc:Fallback>
      </mc:AlternateContent>
    </w:r>
    <w:r w:rsidR="00000000">
      <w:rPr>
        <w:rFonts w:ascii="Calibri" w:hAnsi="Calibri"/>
        <w:noProof/>
        <w:color w:val="auto"/>
      </w:rPr>
      <w:pict w14:anchorId="795CC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16677" o:spid="_x0000_s1026" type="#_x0000_t136" alt="" style="position:absolute;left:0;text-align:left;margin-left:0;margin-top:0;width:494.9pt;height:164.95pt;rotation:315;z-index:-2516295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F" w14:textId="1BC1ECD4" w:rsidR="00D80A11" w:rsidRDefault="00924042">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sidRPr="006A1DB6">
      <w:rPr>
        <w:noProof/>
        <w:color w:val="FFFFFF" w:themeColor="background1"/>
        <w14:textFill>
          <w14:noFill/>
        </w14:textFill>
      </w:rPr>
      <w:drawing>
        <wp:anchor distT="0" distB="0" distL="114300" distR="114300" simplePos="0" relativeHeight="251676672" behindDoc="1" locked="0" layoutInCell="1" allowOverlap="1" wp14:anchorId="1DD5577A" wp14:editId="0D3CD723">
          <wp:simplePos x="0" y="0"/>
          <wp:positionH relativeFrom="column">
            <wp:posOffset>-948036</wp:posOffset>
          </wp:positionH>
          <wp:positionV relativeFrom="paragraph">
            <wp:posOffset>-293370</wp:posOffset>
          </wp:positionV>
          <wp:extent cx="7809230" cy="1148080"/>
          <wp:effectExtent l="0" t="0" r="1270" b="0"/>
          <wp:wrapSquare wrapText="bothSides"/>
          <wp:docPr id="1906910669" name="Picture 19069106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10669" name="Picture 190691066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9230" cy="1148080"/>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Calibri" w:hAnsi="Calibri"/>
        <w:noProof/>
        <w:color w:val="auto"/>
      </w:rPr>
      <w:pict w14:anchorId="79A73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16675" o:spid="_x0000_s1025" type="#_x0000_t136" alt="" style="position:absolute;margin-left:0;margin-top:0;width:494.9pt;height:164.95pt;rotation:315;z-index:-25163366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102D"/>
    <w:multiLevelType w:val="multilevel"/>
    <w:tmpl w:val="86423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CD4E27"/>
    <w:multiLevelType w:val="hybridMultilevel"/>
    <w:tmpl w:val="D4CC4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A1AFB"/>
    <w:multiLevelType w:val="multilevel"/>
    <w:tmpl w:val="6EB233C8"/>
    <w:lvl w:ilvl="0">
      <w:start w:val="16"/>
      <w:numFmt w:val="bullet"/>
      <w:pStyle w:val="List-Letter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8529E2"/>
    <w:multiLevelType w:val="multilevel"/>
    <w:tmpl w:val="F0D6D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F6B5FA2"/>
    <w:multiLevelType w:val="multilevel"/>
    <w:tmpl w:val="465ED60E"/>
    <w:lvl w:ilvl="0">
      <w:start w:val="1"/>
      <w:numFmt w:val="bullet"/>
      <w:pStyle w:val="List-Number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FE5F6C"/>
    <w:multiLevelType w:val="hybridMultilevel"/>
    <w:tmpl w:val="747A042C"/>
    <w:lvl w:ilvl="0" w:tplc="7548DBFC">
      <w:start w:val="1"/>
      <w:numFmt w:val="decimal"/>
      <w:lvlText w:val="%1."/>
      <w:lvlJc w:val="left"/>
      <w:pPr>
        <w:ind w:left="1009" w:hanging="360"/>
      </w:pPr>
      <w:rPr>
        <w:rFonts w:ascii="Calibri" w:eastAsia="Calibri" w:hAnsi="Calibri" w:cs="Calibri"/>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6" w15:restartNumberingAfterBreak="0">
    <w:nsid w:val="3E4E09C4"/>
    <w:multiLevelType w:val="multilevel"/>
    <w:tmpl w:val="A8287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340594"/>
    <w:multiLevelType w:val="multilevel"/>
    <w:tmpl w:val="502E8CB2"/>
    <w:lvl w:ilvl="0">
      <w:start w:val="1"/>
      <w:numFmt w:val="bullet"/>
      <w:pStyle w:val="List-Level1"/>
      <w:lvlText w:val="●"/>
      <w:lvlJc w:val="left"/>
      <w:pPr>
        <w:ind w:left="720" w:hanging="360"/>
      </w:pPr>
      <w:rPr>
        <w:u w:val="none"/>
      </w:rPr>
    </w:lvl>
    <w:lvl w:ilvl="1">
      <w:start w:val="1"/>
      <w:numFmt w:val="bullet"/>
      <w:pStyle w:val="List-Level2"/>
      <w:lvlText w:val="○"/>
      <w:lvlJc w:val="left"/>
      <w:pPr>
        <w:ind w:left="1440" w:hanging="360"/>
      </w:pPr>
      <w:rPr>
        <w:u w:val="none"/>
      </w:rPr>
    </w:lvl>
    <w:lvl w:ilvl="2">
      <w:start w:val="1"/>
      <w:numFmt w:val="bullet"/>
      <w:pStyle w:val="List-Level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C3238E"/>
    <w:multiLevelType w:val="hybridMultilevel"/>
    <w:tmpl w:val="744E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7E0A53"/>
    <w:multiLevelType w:val="hybridMultilevel"/>
    <w:tmpl w:val="8FF0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12E75"/>
    <w:multiLevelType w:val="multilevel"/>
    <w:tmpl w:val="E9B2EC12"/>
    <w:lvl w:ilvl="0">
      <w:start w:val="1"/>
      <w:numFmt w:val="bullet"/>
      <w:pStyle w:val="Table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AA141F9"/>
    <w:multiLevelType w:val="hybridMultilevel"/>
    <w:tmpl w:val="5206457A"/>
    <w:lvl w:ilvl="0" w:tplc="2B7CA164">
      <w:start w:val="1"/>
      <w:numFmt w:val="decimal"/>
      <w:pStyle w:val="CalloutBox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109119">
    <w:abstractNumId w:val="6"/>
  </w:num>
  <w:num w:numId="2" w16cid:durableId="326056615">
    <w:abstractNumId w:val="2"/>
  </w:num>
  <w:num w:numId="3" w16cid:durableId="973752808">
    <w:abstractNumId w:val="4"/>
  </w:num>
  <w:num w:numId="4" w16cid:durableId="728186766">
    <w:abstractNumId w:val="10"/>
  </w:num>
  <w:num w:numId="5" w16cid:durableId="1501963065">
    <w:abstractNumId w:val="0"/>
  </w:num>
  <w:num w:numId="6" w16cid:durableId="1752197777">
    <w:abstractNumId w:val="7"/>
  </w:num>
  <w:num w:numId="7" w16cid:durableId="1768038273">
    <w:abstractNumId w:val="8"/>
  </w:num>
  <w:num w:numId="8" w16cid:durableId="1174762560">
    <w:abstractNumId w:val="3"/>
  </w:num>
  <w:num w:numId="9" w16cid:durableId="234168483">
    <w:abstractNumId w:val="5"/>
  </w:num>
  <w:num w:numId="10" w16cid:durableId="1449934668">
    <w:abstractNumId w:val="1"/>
  </w:num>
  <w:num w:numId="11" w16cid:durableId="264651202">
    <w:abstractNumId w:val="11"/>
  </w:num>
  <w:num w:numId="12" w16cid:durableId="1094479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3NzIzNrE0MTc0szRQ0lEKTi0uzszPAykwqgUAInZTqSwAAAA="/>
  </w:docVars>
  <w:rsids>
    <w:rsidRoot w:val="00D80A11"/>
    <w:rsid w:val="00033091"/>
    <w:rsid w:val="000530C4"/>
    <w:rsid w:val="00057DE3"/>
    <w:rsid w:val="00077A1A"/>
    <w:rsid w:val="00084537"/>
    <w:rsid w:val="000859C9"/>
    <w:rsid w:val="000A10D6"/>
    <w:rsid w:val="000C353C"/>
    <w:rsid w:val="000D44DC"/>
    <w:rsid w:val="000E0D70"/>
    <w:rsid w:val="000F2AD6"/>
    <w:rsid w:val="001202D2"/>
    <w:rsid w:val="00143CBA"/>
    <w:rsid w:val="00170D6A"/>
    <w:rsid w:val="00174999"/>
    <w:rsid w:val="001825DE"/>
    <w:rsid w:val="001E6655"/>
    <w:rsid w:val="00202AA0"/>
    <w:rsid w:val="00206DD3"/>
    <w:rsid w:val="0021031C"/>
    <w:rsid w:val="002723FF"/>
    <w:rsid w:val="00280392"/>
    <w:rsid w:val="00291BD1"/>
    <w:rsid w:val="002A0231"/>
    <w:rsid w:val="002B3972"/>
    <w:rsid w:val="002B75AA"/>
    <w:rsid w:val="00303288"/>
    <w:rsid w:val="00304497"/>
    <w:rsid w:val="00305BD4"/>
    <w:rsid w:val="00317D55"/>
    <w:rsid w:val="00333E8C"/>
    <w:rsid w:val="00337C01"/>
    <w:rsid w:val="003C1000"/>
    <w:rsid w:val="003D5082"/>
    <w:rsid w:val="00400561"/>
    <w:rsid w:val="00402C09"/>
    <w:rsid w:val="004045E2"/>
    <w:rsid w:val="00405F49"/>
    <w:rsid w:val="00424114"/>
    <w:rsid w:val="00442CDA"/>
    <w:rsid w:val="00473694"/>
    <w:rsid w:val="00481279"/>
    <w:rsid w:val="00495245"/>
    <w:rsid w:val="004A4075"/>
    <w:rsid w:val="004B2DF7"/>
    <w:rsid w:val="004D1B32"/>
    <w:rsid w:val="004D3440"/>
    <w:rsid w:val="00526777"/>
    <w:rsid w:val="00527C41"/>
    <w:rsid w:val="0053698F"/>
    <w:rsid w:val="005605C9"/>
    <w:rsid w:val="00562357"/>
    <w:rsid w:val="0056294E"/>
    <w:rsid w:val="0057013D"/>
    <w:rsid w:val="00596449"/>
    <w:rsid w:val="005A39C2"/>
    <w:rsid w:val="005B3ADD"/>
    <w:rsid w:val="005D5CF9"/>
    <w:rsid w:val="0061493B"/>
    <w:rsid w:val="0063545B"/>
    <w:rsid w:val="006646E6"/>
    <w:rsid w:val="006712D2"/>
    <w:rsid w:val="00674ECE"/>
    <w:rsid w:val="006A1DB6"/>
    <w:rsid w:val="006B0F7E"/>
    <w:rsid w:val="006C0F9C"/>
    <w:rsid w:val="00726B32"/>
    <w:rsid w:val="00751FD7"/>
    <w:rsid w:val="00773AA8"/>
    <w:rsid w:val="00784E7A"/>
    <w:rsid w:val="0078596D"/>
    <w:rsid w:val="00794527"/>
    <w:rsid w:val="007D4F4F"/>
    <w:rsid w:val="007E7A5C"/>
    <w:rsid w:val="007F3123"/>
    <w:rsid w:val="0083410C"/>
    <w:rsid w:val="00835CD6"/>
    <w:rsid w:val="00846545"/>
    <w:rsid w:val="00873979"/>
    <w:rsid w:val="008A4B78"/>
    <w:rsid w:val="009011B1"/>
    <w:rsid w:val="0090180A"/>
    <w:rsid w:val="00924042"/>
    <w:rsid w:val="00925686"/>
    <w:rsid w:val="00930A3D"/>
    <w:rsid w:val="0093346E"/>
    <w:rsid w:val="00947AA8"/>
    <w:rsid w:val="00955DD1"/>
    <w:rsid w:val="009623AA"/>
    <w:rsid w:val="00975715"/>
    <w:rsid w:val="0098393A"/>
    <w:rsid w:val="009B6C8B"/>
    <w:rsid w:val="009B6E9C"/>
    <w:rsid w:val="009E6306"/>
    <w:rsid w:val="00A00DC0"/>
    <w:rsid w:val="00A02B5C"/>
    <w:rsid w:val="00A22553"/>
    <w:rsid w:val="00A26C4B"/>
    <w:rsid w:val="00A347B3"/>
    <w:rsid w:val="00A53E02"/>
    <w:rsid w:val="00A94874"/>
    <w:rsid w:val="00AA0D88"/>
    <w:rsid w:val="00AB38DD"/>
    <w:rsid w:val="00AC2C65"/>
    <w:rsid w:val="00AD05E1"/>
    <w:rsid w:val="00AF5930"/>
    <w:rsid w:val="00B02F50"/>
    <w:rsid w:val="00B535A9"/>
    <w:rsid w:val="00B57A96"/>
    <w:rsid w:val="00B71704"/>
    <w:rsid w:val="00B8222D"/>
    <w:rsid w:val="00B96195"/>
    <w:rsid w:val="00BA6348"/>
    <w:rsid w:val="00BC00C5"/>
    <w:rsid w:val="00BE3BCF"/>
    <w:rsid w:val="00BF5B9D"/>
    <w:rsid w:val="00C001D6"/>
    <w:rsid w:val="00C0109E"/>
    <w:rsid w:val="00C35C3F"/>
    <w:rsid w:val="00C51FB2"/>
    <w:rsid w:val="00C669D8"/>
    <w:rsid w:val="00C6747E"/>
    <w:rsid w:val="00C74CE6"/>
    <w:rsid w:val="00CC05DD"/>
    <w:rsid w:val="00CC36BF"/>
    <w:rsid w:val="00CF214A"/>
    <w:rsid w:val="00D023DE"/>
    <w:rsid w:val="00D10540"/>
    <w:rsid w:val="00D336C4"/>
    <w:rsid w:val="00D40A87"/>
    <w:rsid w:val="00D72607"/>
    <w:rsid w:val="00D80A11"/>
    <w:rsid w:val="00DD4DB4"/>
    <w:rsid w:val="00DE3F38"/>
    <w:rsid w:val="00DF5012"/>
    <w:rsid w:val="00E162B9"/>
    <w:rsid w:val="00E307D2"/>
    <w:rsid w:val="00E40CA2"/>
    <w:rsid w:val="00E60404"/>
    <w:rsid w:val="00E63DD9"/>
    <w:rsid w:val="00E71F56"/>
    <w:rsid w:val="00E72406"/>
    <w:rsid w:val="00E75459"/>
    <w:rsid w:val="00E8565B"/>
    <w:rsid w:val="00E93940"/>
    <w:rsid w:val="00EA5AA8"/>
    <w:rsid w:val="00EA6CC5"/>
    <w:rsid w:val="00EC4F87"/>
    <w:rsid w:val="00EC7073"/>
    <w:rsid w:val="00EE39C3"/>
    <w:rsid w:val="00EE79B7"/>
    <w:rsid w:val="00EF3A41"/>
    <w:rsid w:val="00F14E5D"/>
    <w:rsid w:val="00F1755B"/>
    <w:rsid w:val="00F463CA"/>
    <w:rsid w:val="00F61072"/>
    <w:rsid w:val="00F633EB"/>
    <w:rsid w:val="00F9284D"/>
    <w:rsid w:val="00FB1E2C"/>
    <w:rsid w:val="00FF07B7"/>
    <w:rsid w:val="247BB056"/>
    <w:rsid w:val="255F06D8"/>
    <w:rsid w:val="29B26FE1"/>
    <w:rsid w:val="2B9D951E"/>
    <w:rsid w:val="2FF73268"/>
    <w:rsid w:val="3EA7B57F"/>
    <w:rsid w:val="422B6334"/>
    <w:rsid w:val="4E14F671"/>
    <w:rsid w:val="4E72BC37"/>
    <w:rsid w:val="682384B6"/>
    <w:rsid w:val="730481A4"/>
    <w:rsid w:val="766A2EA5"/>
    <w:rsid w:val="7F7F4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2FBF0"/>
  <w15:docId w15:val="{B65C0F0F-E17A-CB4E-A358-9FDCD650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45B"/>
    <w:pPr>
      <w:spacing w:line="360" w:lineRule="auto"/>
    </w:pPr>
    <w:rPr>
      <w:rFonts w:ascii="Arial" w:hAnsi="Arial"/>
      <w:color w:val="383838" w:themeColor="text1"/>
    </w:rPr>
  </w:style>
  <w:style w:type="paragraph" w:styleId="Heading1">
    <w:name w:val="heading 1"/>
    <w:basedOn w:val="Normal"/>
    <w:next w:val="Normal"/>
    <w:uiPriority w:val="9"/>
    <w:qFormat/>
    <w:pPr>
      <w:keepNext/>
      <w:keepLines/>
      <w:spacing w:before="240"/>
      <w:outlineLvl w:val="0"/>
    </w:pPr>
    <w:rPr>
      <w:color w:val="2E3E47"/>
      <w:sz w:val="32"/>
      <w:szCs w:val="32"/>
    </w:rPr>
  </w:style>
  <w:style w:type="paragraph" w:styleId="Heading2">
    <w:name w:val="heading 2"/>
    <w:basedOn w:val="Normal"/>
    <w:next w:val="Normal"/>
    <w:uiPriority w:val="9"/>
    <w:semiHidden/>
    <w:unhideWhenUsed/>
    <w:qFormat/>
    <w:pPr>
      <w:keepNext/>
      <w:keepLines/>
      <w:spacing w:before="40"/>
      <w:outlineLvl w:val="1"/>
    </w:pPr>
    <w:rPr>
      <w:color w:val="2E3E47"/>
      <w:sz w:val="26"/>
      <w:szCs w:val="26"/>
    </w:rPr>
  </w:style>
  <w:style w:type="paragraph" w:styleId="Heading3">
    <w:name w:val="heading 3"/>
    <w:basedOn w:val="Normal"/>
    <w:next w:val="Normal"/>
    <w:uiPriority w:val="9"/>
    <w:semiHidden/>
    <w:unhideWhenUsed/>
    <w:qFormat/>
    <w:pPr>
      <w:keepNext/>
      <w:keepLines/>
      <w:spacing w:before="40"/>
      <w:outlineLvl w:val="2"/>
    </w:pPr>
    <w:rPr>
      <w:color w:val="1E292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ate">
    <w:name w:val="Cover - Date"/>
    <w:basedOn w:val="Cover-Authors"/>
    <w:qFormat/>
    <w:rsid w:val="0063545B"/>
    <w:rPr>
      <w:b w:val="0"/>
    </w:rPr>
  </w:style>
  <w:style w:type="paragraph" w:customStyle="1" w:styleId="heading20">
    <w:name w:val="heading 20"/>
    <w:basedOn w:val="Normal"/>
    <w:next w:val="Normal"/>
    <w:uiPriority w:val="9"/>
    <w:semiHidden/>
    <w:unhideWhenUsed/>
    <w:qFormat/>
    <w:rsid w:val="00C35C3F"/>
    <w:pPr>
      <w:keepNext/>
      <w:keepLines/>
      <w:spacing w:before="40" w:line="240" w:lineRule="auto"/>
      <w:outlineLvl w:val="1"/>
    </w:pPr>
    <w:rPr>
      <w:rFonts w:ascii="Calibri" w:hAnsi="Calibri"/>
      <w:color w:val="2E3E47"/>
      <w:sz w:val="26"/>
      <w:szCs w:val="26"/>
    </w:rPr>
  </w:style>
  <w:style w:type="paragraph" w:customStyle="1" w:styleId="heading30">
    <w:name w:val="heading 30"/>
    <w:basedOn w:val="Normal"/>
    <w:next w:val="Normal"/>
    <w:uiPriority w:val="9"/>
    <w:semiHidden/>
    <w:unhideWhenUsed/>
    <w:qFormat/>
    <w:rsid w:val="00C35C3F"/>
    <w:pPr>
      <w:keepNext/>
      <w:keepLines/>
      <w:spacing w:before="40" w:line="240" w:lineRule="auto"/>
      <w:outlineLvl w:val="2"/>
    </w:pPr>
    <w:rPr>
      <w:rFonts w:ascii="Calibri" w:hAnsi="Calibri"/>
      <w:color w:val="1E292F"/>
    </w:rPr>
  </w:style>
  <w:style w:type="paragraph" w:customStyle="1" w:styleId="heading40">
    <w:name w:val="heading 40"/>
    <w:basedOn w:val="Normal"/>
    <w:next w:val="Normal"/>
    <w:uiPriority w:val="9"/>
    <w:semiHidden/>
    <w:unhideWhenUsed/>
    <w:qFormat/>
    <w:rsid w:val="00C35C3F"/>
    <w:pPr>
      <w:keepNext/>
      <w:keepLines/>
      <w:spacing w:before="240" w:after="40" w:line="240" w:lineRule="auto"/>
      <w:outlineLvl w:val="3"/>
    </w:pPr>
    <w:rPr>
      <w:rFonts w:ascii="Calibri" w:hAnsi="Calibri"/>
      <w:b/>
    </w:rPr>
  </w:style>
  <w:style w:type="paragraph" w:customStyle="1" w:styleId="heading50">
    <w:name w:val="heading 50"/>
    <w:basedOn w:val="Normal"/>
    <w:next w:val="Normal"/>
    <w:uiPriority w:val="9"/>
    <w:semiHidden/>
    <w:unhideWhenUsed/>
    <w:qFormat/>
    <w:rsid w:val="00C35C3F"/>
    <w:pPr>
      <w:keepNext/>
      <w:keepLines/>
      <w:spacing w:before="220" w:after="40" w:line="240" w:lineRule="auto"/>
      <w:outlineLvl w:val="4"/>
    </w:pPr>
    <w:rPr>
      <w:rFonts w:ascii="Calibri" w:hAnsi="Calibri"/>
      <w:b/>
      <w:sz w:val="22"/>
      <w:szCs w:val="22"/>
    </w:rPr>
  </w:style>
  <w:style w:type="paragraph" w:customStyle="1" w:styleId="heading60">
    <w:name w:val="heading 60"/>
    <w:basedOn w:val="Normal"/>
    <w:next w:val="Normal"/>
    <w:uiPriority w:val="9"/>
    <w:semiHidden/>
    <w:unhideWhenUsed/>
    <w:qFormat/>
    <w:rsid w:val="00C35C3F"/>
    <w:pPr>
      <w:keepNext/>
      <w:keepLines/>
      <w:spacing w:before="200" w:after="40" w:line="240" w:lineRule="auto"/>
      <w:outlineLvl w:val="5"/>
    </w:pPr>
    <w:rPr>
      <w:rFonts w:ascii="Calibri" w:hAnsi="Calibri"/>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heading200">
    <w:name w:val="heading 200"/>
    <w:basedOn w:val="Normal"/>
    <w:next w:val="Normal"/>
    <w:link w:val="Heading2Char"/>
    <w:uiPriority w:val="9"/>
    <w:semiHidden/>
    <w:qFormat/>
    <w:rsid w:val="00C35C3F"/>
    <w:pPr>
      <w:keepNext/>
      <w:keepLines/>
      <w:spacing w:before="40" w:line="240" w:lineRule="auto"/>
      <w:outlineLvl w:val="1"/>
    </w:pPr>
    <w:rPr>
      <w:rFonts w:asciiTheme="majorHAnsi" w:eastAsiaTheme="majorEastAsia" w:hAnsiTheme="majorHAnsi" w:cstheme="majorBidi"/>
      <w:color w:val="2C6497" w:themeColor="accent1" w:themeShade="BF"/>
      <w:sz w:val="26"/>
      <w:szCs w:val="26"/>
    </w:rPr>
  </w:style>
  <w:style w:type="paragraph" w:customStyle="1" w:styleId="heading300">
    <w:name w:val="heading 300"/>
    <w:basedOn w:val="Normal"/>
    <w:next w:val="Normal"/>
    <w:link w:val="Heading3Char"/>
    <w:uiPriority w:val="9"/>
    <w:semiHidden/>
    <w:qFormat/>
    <w:rsid w:val="00C35C3F"/>
    <w:pPr>
      <w:keepNext/>
      <w:keepLines/>
      <w:spacing w:before="40" w:line="240" w:lineRule="auto"/>
      <w:outlineLvl w:val="2"/>
    </w:pPr>
    <w:rPr>
      <w:rFonts w:asciiTheme="majorHAnsi" w:eastAsiaTheme="majorEastAsia" w:hAnsiTheme="majorHAnsi" w:cstheme="majorBidi"/>
      <w:color w:val="1D4264" w:themeColor="accent1" w:themeShade="7F"/>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35C3F"/>
    <w:pPr>
      <w:tabs>
        <w:tab w:val="center" w:pos="4680"/>
        <w:tab w:val="right" w:pos="9360"/>
      </w:tabs>
      <w:spacing w:line="240" w:lineRule="auto"/>
    </w:pPr>
    <w:rPr>
      <w:rFonts w:ascii="Calibri" w:hAnsi="Calibri"/>
    </w:rPr>
  </w:style>
  <w:style w:type="character" w:customStyle="1" w:styleId="HeaderChar">
    <w:name w:val="Header Char"/>
    <w:basedOn w:val="DefaultParagraphFont"/>
    <w:link w:val="Header"/>
    <w:uiPriority w:val="99"/>
    <w:rsid w:val="007B7B2A"/>
    <w:rPr>
      <w:sz w:val="24"/>
      <w:lang w:val="en-US"/>
    </w:rPr>
  </w:style>
  <w:style w:type="paragraph" w:styleId="Footer">
    <w:name w:val="footer"/>
    <w:basedOn w:val="Normal"/>
    <w:link w:val="FooterChar"/>
    <w:uiPriority w:val="99"/>
    <w:unhideWhenUsed/>
    <w:rsid w:val="00C35C3F"/>
    <w:pPr>
      <w:tabs>
        <w:tab w:val="center" w:pos="4680"/>
        <w:tab w:val="right" w:pos="9360"/>
      </w:tabs>
      <w:spacing w:line="240" w:lineRule="auto"/>
    </w:pPr>
    <w:rPr>
      <w:rFonts w:ascii="Calibri" w:hAnsi="Calibri"/>
    </w:rPr>
  </w:style>
  <w:style w:type="character" w:customStyle="1" w:styleId="FooterChar">
    <w:name w:val="Footer Char"/>
    <w:basedOn w:val="DefaultParagraphFont"/>
    <w:link w:val="Footer"/>
    <w:uiPriority w:val="99"/>
    <w:rsid w:val="007B7B2A"/>
    <w:rPr>
      <w:sz w:val="24"/>
      <w:lang w:val="en-US"/>
    </w:rPr>
  </w:style>
  <w:style w:type="paragraph" w:customStyle="1" w:styleId="Heading1-CoverTitle">
    <w:name w:val="Heading 1 - Cover Title"/>
    <w:basedOn w:val="Normal"/>
    <w:qFormat/>
    <w:rsid w:val="0063545B"/>
    <w:pPr>
      <w:spacing w:before="2000" w:line="960" w:lineRule="exact"/>
      <w:ind w:left="360"/>
      <w:outlineLvl w:val="0"/>
    </w:pPr>
    <w:rPr>
      <w:rFonts w:cs="Arial"/>
      <w:b/>
      <w:bCs/>
      <w:color w:val="3E87C7" w:themeColor="accent1"/>
      <w:sz w:val="88"/>
      <w:szCs w:val="88"/>
    </w:rPr>
  </w:style>
  <w:style w:type="paragraph" w:customStyle="1" w:styleId="Subtitle-Cover">
    <w:name w:val="Subtitle - Cover"/>
    <w:basedOn w:val="Heading1-CoverTitle"/>
    <w:qFormat/>
    <w:rsid w:val="00C35C3F"/>
    <w:pPr>
      <w:spacing w:before="300" w:after="1200" w:line="600" w:lineRule="exact"/>
      <w:outlineLvl w:val="9"/>
    </w:pPr>
    <w:rPr>
      <w:b w:val="0"/>
      <w:color w:val="1D4365" w:themeColor="accent1" w:themeShade="80"/>
      <w:sz w:val="52"/>
      <w:szCs w:val="52"/>
    </w:rPr>
  </w:style>
  <w:style w:type="paragraph" w:customStyle="1" w:styleId="Cover-Authors">
    <w:name w:val="Cover- Authors"/>
    <w:basedOn w:val="Subtitle-Cover"/>
    <w:qFormat/>
    <w:rsid w:val="0063545B"/>
    <w:pPr>
      <w:pBdr>
        <w:top w:val="single" w:sz="48" w:space="12" w:color="2F4A6B"/>
      </w:pBdr>
      <w:spacing w:before="0" w:after="60" w:line="380" w:lineRule="exact"/>
    </w:pPr>
    <w:rPr>
      <w:b/>
      <w:bCs w:val="0"/>
      <w:color w:val="534EA1" w:themeColor="accent2"/>
      <w:sz w:val="32"/>
      <w:szCs w:val="32"/>
    </w:rPr>
  </w:style>
  <w:style w:type="paragraph" w:customStyle="1" w:styleId="Heading1-CoverTitle2">
    <w:name w:val="Heading 1-Cover Title 2"/>
    <w:basedOn w:val="Normal"/>
    <w:qFormat/>
    <w:rsid w:val="0063545B"/>
    <w:pPr>
      <w:spacing w:before="2000" w:line="960" w:lineRule="exact"/>
      <w:outlineLvl w:val="0"/>
    </w:pPr>
    <w:rPr>
      <w:rFonts w:cs="Arial"/>
      <w:b/>
      <w:bCs/>
      <w:color w:val="534EA1" w:themeColor="accent2"/>
      <w:sz w:val="88"/>
      <w:szCs w:val="88"/>
    </w:rPr>
  </w:style>
  <w:style w:type="paragraph" w:customStyle="1" w:styleId="Subtitle-Cover2">
    <w:name w:val="Subtitle-Cover 2"/>
    <w:basedOn w:val="Heading1-CoverTitle2"/>
    <w:qFormat/>
    <w:rsid w:val="00C35C3F"/>
    <w:pPr>
      <w:spacing w:before="300" w:after="1240" w:line="600" w:lineRule="exact"/>
    </w:pPr>
    <w:rPr>
      <w:color w:val="3E87C7" w:themeColor="accent1"/>
      <w:sz w:val="52"/>
      <w:szCs w:val="52"/>
    </w:rPr>
  </w:style>
  <w:style w:type="paragraph" w:customStyle="1" w:styleId="Cover2-AdditionalInformation">
    <w:name w:val="Cover 2 - Additional Information"/>
    <w:basedOn w:val="Subtitle-Cover2"/>
    <w:qFormat/>
    <w:rsid w:val="007B7B2A"/>
    <w:pPr>
      <w:spacing w:before="600" w:after="120" w:line="340" w:lineRule="exact"/>
      <w:ind w:left="4320"/>
    </w:pPr>
    <w:rPr>
      <w:b w:val="0"/>
      <w:bCs w:val="0"/>
      <w:i/>
      <w:iCs/>
      <w:color w:val="536A85"/>
      <w:sz w:val="26"/>
      <w:szCs w:val="26"/>
    </w:rPr>
  </w:style>
  <w:style w:type="paragraph" w:customStyle="1" w:styleId="Boilerplate-FirstParagraph">
    <w:name w:val="Boilerplate - First Paragraph"/>
    <w:basedOn w:val="Normal"/>
    <w:qFormat/>
    <w:rsid w:val="00C35C3F"/>
    <w:pPr>
      <w:spacing w:before="8900" w:line="240" w:lineRule="auto"/>
    </w:pPr>
    <w:rPr>
      <w:rFonts w:cstheme="minorHAnsi"/>
      <w:color w:val="536A85"/>
      <w:szCs w:val="20"/>
    </w:rPr>
  </w:style>
  <w:style w:type="paragraph" w:customStyle="1" w:styleId="Boilerplate">
    <w:name w:val="Boilerplate"/>
    <w:basedOn w:val="Normal"/>
    <w:qFormat/>
    <w:rsid w:val="00C35C3F"/>
    <w:pPr>
      <w:spacing w:after="360" w:line="288" w:lineRule="auto"/>
    </w:pPr>
    <w:rPr>
      <w:rFonts w:cstheme="minorHAnsi"/>
      <w:color w:val="536A85"/>
      <w:szCs w:val="20"/>
    </w:rPr>
  </w:style>
  <w:style w:type="character" w:styleId="Hyperlink">
    <w:name w:val="Hyperlink"/>
    <w:basedOn w:val="DefaultParagraphFont"/>
    <w:uiPriority w:val="99"/>
    <w:unhideWhenUsed/>
    <w:rsid w:val="00094E31"/>
    <w:rPr>
      <w:color w:val="11767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paragraph" w:customStyle="1" w:styleId="Heading2A-TOC">
    <w:name w:val="Heading 2A - TOC"/>
    <w:basedOn w:val="Heading2B-Startofnewpage"/>
    <w:qFormat/>
    <w:rsid w:val="00930A3D"/>
    <w:pPr>
      <w:ind w:left="360"/>
    </w:pPr>
    <w:rPr>
      <w:sz w:val="60"/>
    </w:rPr>
  </w:style>
  <w:style w:type="paragraph" w:customStyle="1" w:styleId="Heading2B-Startofnewpage">
    <w:name w:val="Heading 2B - Start of new page"/>
    <w:basedOn w:val="Normal"/>
    <w:link w:val="Heading2B-StartofnewpageChar"/>
    <w:qFormat/>
    <w:rsid w:val="0063545B"/>
    <w:pPr>
      <w:keepNext/>
      <w:spacing w:before="840" w:after="240"/>
      <w:outlineLvl w:val="1"/>
    </w:pPr>
    <w:rPr>
      <w:b/>
      <w:sz w:val="36"/>
      <w:szCs w:val="70"/>
    </w:rPr>
  </w:style>
  <w:style w:type="paragraph" w:customStyle="1" w:styleId="ParagraphIntroFollowingHeading">
    <w:name w:val="Paragraph  – Intro Following Heading"/>
    <w:basedOn w:val="Heading2B-Startofnewpage"/>
    <w:link w:val="ParagraphIntroFollowingHeadingChar"/>
    <w:qFormat/>
    <w:rsid w:val="0063545B"/>
    <w:pPr>
      <w:spacing w:before="0" w:after="280" w:line="400" w:lineRule="exact"/>
      <w:ind w:left="1008"/>
      <w:outlineLvl w:val="9"/>
    </w:pPr>
    <w:rPr>
      <w:color w:val="1D4365" w:themeColor="accent1" w:themeShade="80"/>
      <w:sz w:val="30"/>
      <w:szCs w:val="30"/>
    </w:rPr>
  </w:style>
  <w:style w:type="paragraph" w:customStyle="1" w:styleId="ParagraphFirstContentAfterIntro">
    <w:name w:val="Paragraph – First Content After Intro"/>
    <w:basedOn w:val="ParagraphIntroFollowingHeading"/>
    <w:next w:val="ParagraphIntroFollowingHeading"/>
    <w:link w:val="ParagraphFirstContentAfterIntroChar"/>
    <w:qFormat/>
    <w:rsid w:val="0063545B"/>
    <w:pPr>
      <w:pBdr>
        <w:top w:val="single" w:sz="18" w:space="22" w:color="1E1853" w:themeColor="text2"/>
      </w:pBdr>
      <w:spacing w:before="360" w:after="116" w:line="360" w:lineRule="auto"/>
      <w:ind w:left="0"/>
    </w:pPr>
    <w:rPr>
      <w:color w:val="3E535F"/>
      <w:sz w:val="24"/>
      <w:szCs w:val="24"/>
    </w:rPr>
  </w:style>
  <w:style w:type="paragraph" w:customStyle="1" w:styleId="Heading3A">
    <w:name w:val="Heading 3A"/>
    <w:basedOn w:val="ParagraphFirstContentAfterIntro"/>
    <w:qFormat/>
    <w:rsid w:val="0063545B"/>
    <w:pPr>
      <w:pBdr>
        <w:top w:val="none" w:sz="0" w:space="0" w:color="auto"/>
      </w:pBdr>
      <w:spacing w:before="470" w:after="180"/>
      <w:ind w:right="720"/>
      <w:outlineLvl w:val="2"/>
    </w:pPr>
    <w:rPr>
      <w:b w:val="0"/>
      <w:bCs/>
      <w:color w:val="534EA1" w:themeColor="accent2"/>
      <w:sz w:val="32"/>
      <w:szCs w:val="32"/>
    </w:rPr>
  </w:style>
  <w:style w:type="paragraph" w:customStyle="1" w:styleId="Paragraph">
    <w:name w:val="Paragraph"/>
    <w:basedOn w:val="Normal"/>
    <w:link w:val="ParagraphChar"/>
    <w:qFormat/>
    <w:rsid w:val="00794527"/>
    <w:pPr>
      <w:spacing w:after="240"/>
    </w:pPr>
  </w:style>
  <w:style w:type="paragraph" w:customStyle="1" w:styleId="HighlightText">
    <w:name w:val="Highlight Text"/>
    <w:basedOn w:val="Paragraph"/>
    <w:qFormat/>
    <w:rsid w:val="007B7B2A"/>
    <w:pPr>
      <w:pBdr>
        <w:top w:val="single" w:sz="48" w:space="10" w:color="1E1853" w:themeColor="text2"/>
        <w:bottom w:val="single" w:sz="48" w:space="13" w:color="1E1853" w:themeColor="text2"/>
      </w:pBdr>
      <w:spacing w:before="440" w:after="620" w:line="420" w:lineRule="exact"/>
      <w:ind w:left="720" w:right="720"/>
    </w:pPr>
    <w:rPr>
      <w:i/>
      <w:iCs/>
      <w:color w:val="0F4E95"/>
      <w:sz w:val="30"/>
      <w:szCs w:val="30"/>
    </w:rPr>
  </w:style>
  <w:style w:type="paragraph" w:customStyle="1" w:styleId="Heading4A">
    <w:name w:val="Heading 4A"/>
    <w:basedOn w:val="Heading3A"/>
    <w:qFormat/>
    <w:rsid w:val="0063545B"/>
    <w:pPr>
      <w:spacing w:before="360" w:after="120"/>
      <w:ind w:right="1080"/>
      <w:outlineLvl w:val="3"/>
    </w:pPr>
    <w:rPr>
      <w:color w:val="383838" w:themeColor="text1"/>
      <w:sz w:val="28"/>
    </w:rPr>
  </w:style>
  <w:style w:type="paragraph" w:customStyle="1" w:styleId="Paragraph-BeforeList">
    <w:name w:val="Paragraph - Before List"/>
    <w:basedOn w:val="Paragraph"/>
    <w:qFormat/>
    <w:rsid w:val="007B7B2A"/>
    <w:pPr>
      <w:spacing w:after="120"/>
    </w:pPr>
  </w:style>
  <w:style w:type="paragraph" w:customStyle="1" w:styleId="List-Level1">
    <w:name w:val="List - Level 1"/>
    <w:basedOn w:val="Paragraph-BeforeList"/>
    <w:qFormat/>
    <w:rsid w:val="007B7B2A"/>
    <w:pPr>
      <w:numPr>
        <w:numId w:val="6"/>
      </w:numPr>
    </w:pPr>
  </w:style>
  <w:style w:type="paragraph" w:customStyle="1" w:styleId="List-Level2">
    <w:name w:val="List - Level 2"/>
    <w:basedOn w:val="Paragraph-BeforeList"/>
    <w:qFormat/>
    <w:rsid w:val="007B7B2A"/>
    <w:pPr>
      <w:numPr>
        <w:ilvl w:val="1"/>
        <w:numId w:val="6"/>
      </w:numPr>
    </w:pPr>
  </w:style>
  <w:style w:type="paragraph" w:customStyle="1" w:styleId="List-Level3">
    <w:name w:val="List - Level 3"/>
    <w:basedOn w:val="Paragraph-BeforeList"/>
    <w:qFormat/>
    <w:rsid w:val="007B7B2A"/>
    <w:pPr>
      <w:numPr>
        <w:ilvl w:val="2"/>
        <w:numId w:val="6"/>
      </w:numPr>
    </w:pPr>
  </w:style>
  <w:style w:type="paragraph" w:customStyle="1" w:styleId="Paragraph-AfterList">
    <w:name w:val="Paragraph - After List"/>
    <w:basedOn w:val="Paragraph"/>
    <w:qFormat/>
    <w:rsid w:val="007B7B2A"/>
    <w:pPr>
      <w:spacing w:before="280"/>
    </w:pPr>
  </w:style>
  <w:style w:type="paragraph" w:customStyle="1" w:styleId="Heading5A">
    <w:name w:val="Heading 5A"/>
    <w:basedOn w:val="Heading4A"/>
    <w:qFormat/>
    <w:rsid w:val="007B7B2A"/>
    <w:pPr>
      <w:spacing w:line="310" w:lineRule="exact"/>
      <w:outlineLvl w:val="4"/>
    </w:pPr>
    <w:rPr>
      <w:b/>
      <w:bCs w:val="0"/>
      <w:sz w:val="24"/>
      <w:szCs w:val="26"/>
    </w:rPr>
  </w:style>
  <w:style w:type="paragraph" w:customStyle="1" w:styleId="Heading6A">
    <w:name w:val="Heading 6A"/>
    <w:basedOn w:val="Heading5A"/>
    <w:qFormat/>
    <w:rsid w:val="0063545B"/>
    <w:pPr>
      <w:spacing w:before="180" w:after="30"/>
      <w:ind w:right="0"/>
      <w:outlineLvl w:val="5"/>
    </w:pPr>
    <w:rPr>
      <w:i/>
      <w:iCs/>
      <w:color w:val="3E87C7" w:themeColor="accent1"/>
      <w:szCs w:val="24"/>
    </w:rPr>
  </w:style>
  <w:style w:type="paragraph" w:customStyle="1" w:styleId="Pullquote">
    <w:name w:val="Pullquote"/>
    <w:basedOn w:val="HighlightText"/>
    <w:qFormat/>
    <w:rsid w:val="007B7B2A"/>
    <w:pPr>
      <w:spacing w:after="160"/>
    </w:pPr>
  </w:style>
  <w:style w:type="paragraph" w:customStyle="1" w:styleId="PullquoteAttribution">
    <w:name w:val="Pullquote Attribution"/>
    <w:basedOn w:val="Pullquote"/>
    <w:qFormat/>
    <w:rsid w:val="007B7B2A"/>
    <w:pPr>
      <w:tabs>
        <w:tab w:val="left" w:pos="3340"/>
      </w:tabs>
      <w:spacing w:before="0" w:after="500" w:line="240" w:lineRule="auto"/>
      <w:ind w:left="3600" w:hanging="2880"/>
    </w:pPr>
    <w:rPr>
      <w:color w:val="547193"/>
      <w:sz w:val="22"/>
      <w:szCs w:val="22"/>
    </w:rPr>
  </w:style>
  <w:style w:type="paragraph" w:customStyle="1" w:styleId="List-Letters">
    <w:name w:val="List - Letters"/>
    <w:basedOn w:val="Paragraph-BeforeList"/>
    <w:qFormat/>
    <w:rsid w:val="007B7B2A"/>
    <w:pPr>
      <w:numPr>
        <w:numId w:val="2"/>
      </w:numPr>
      <w:ind w:left="867" w:hanging="289"/>
    </w:pPr>
  </w:style>
  <w:style w:type="paragraph" w:customStyle="1" w:styleId="List-Numbers">
    <w:name w:val="List - Numbers"/>
    <w:basedOn w:val="List-Letters"/>
    <w:qFormat/>
    <w:rsid w:val="007B7B2A"/>
    <w:pPr>
      <w:numPr>
        <w:numId w:val="3"/>
      </w:numPr>
      <w:ind w:left="867" w:hanging="289"/>
    </w:pPr>
  </w:style>
  <w:style w:type="paragraph" w:customStyle="1" w:styleId="CalloutBox-Title">
    <w:name w:val="Callout Box - Title"/>
    <w:basedOn w:val="Paragraph-AfterList"/>
    <w:qFormat/>
    <w:rsid w:val="00C35C3F"/>
    <w:pPr>
      <w:pBdr>
        <w:top w:val="single" w:sz="48" w:space="10" w:color="3E87C7" w:themeColor="accent1"/>
        <w:bottom w:val="single" w:sz="4" w:space="1" w:color="3E87C7" w:themeColor="accent1"/>
      </w:pBdr>
      <w:spacing w:before="800" w:after="0"/>
    </w:pPr>
    <w:rPr>
      <w:color w:val="1D4365" w:themeColor="accent1" w:themeShade="80"/>
      <w:sz w:val="36"/>
      <w:szCs w:val="36"/>
    </w:rPr>
  </w:style>
  <w:style w:type="paragraph" w:customStyle="1" w:styleId="CalloutBox-Subtitle">
    <w:name w:val="Callout Box - Subtitle"/>
    <w:basedOn w:val="Paragraph-AfterList"/>
    <w:qFormat/>
    <w:rsid w:val="00C35C3F"/>
    <w:pPr>
      <w:pBdr>
        <w:bottom w:val="single" w:sz="12" w:space="7" w:color="DAEFD8"/>
      </w:pBdr>
      <w:spacing w:before="40" w:after="216"/>
    </w:pPr>
    <w:rPr>
      <w:b/>
      <w:bCs/>
      <w:i/>
      <w:iCs/>
      <w:color w:val="1E1853" w:themeColor="text2"/>
    </w:rPr>
  </w:style>
  <w:style w:type="paragraph" w:customStyle="1" w:styleId="CalloutBox-Paragraph">
    <w:name w:val="Callout Box - Paragraph"/>
    <w:basedOn w:val="Paragraph"/>
    <w:qFormat/>
    <w:rsid w:val="00C35C3F"/>
    <w:pPr>
      <w:spacing w:before="72" w:after="140"/>
    </w:pPr>
    <w:rPr>
      <w:color w:val="1D4365" w:themeColor="accent1" w:themeShade="80"/>
    </w:rPr>
  </w:style>
  <w:style w:type="paragraph" w:customStyle="1" w:styleId="CalloutBox-ParagraphBold">
    <w:name w:val="Callout Box - Paragraph Bold"/>
    <w:basedOn w:val="Paragraph"/>
    <w:qFormat/>
    <w:rsid w:val="00C35C3F"/>
    <w:pPr>
      <w:spacing w:before="72" w:after="140"/>
    </w:pPr>
    <w:rPr>
      <w:b/>
      <w:bCs/>
      <w:color w:val="1E1853" w:themeColor="text2"/>
    </w:rPr>
  </w:style>
  <w:style w:type="paragraph" w:customStyle="1" w:styleId="CalloutBox-ListLevel1">
    <w:name w:val="Callout Box - List Level 1"/>
    <w:qFormat/>
    <w:rsid w:val="00C35C3F"/>
    <w:pPr>
      <w:tabs>
        <w:tab w:val="num" w:pos="720"/>
      </w:tabs>
      <w:spacing w:line="360" w:lineRule="auto"/>
      <w:ind w:left="720" w:hanging="720"/>
    </w:pPr>
    <w:rPr>
      <w:rFonts w:ascii="Arial" w:hAnsi="Arial"/>
      <w:color w:val="1D4365" w:themeColor="accent1" w:themeShade="80"/>
    </w:rPr>
  </w:style>
  <w:style w:type="paragraph" w:customStyle="1" w:styleId="CalloutBox-ListLevel2">
    <w:name w:val="Callout Box - List Level 2"/>
    <w:qFormat/>
    <w:rsid w:val="00C35C3F"/>
    <w:pPr>
      <w:tabs>
        <w:tab w:val="num" w:pos="1440"/>
      </w:tabs>
      <w:spacing w:line="360" w:lineRule="auto"/>
      <w:ind w:left="1440" w:hanging="720"/>
    </w:pPr>
    <w:rPr>
      <w:rFonts w:ascii="Arial" w:hAnsi="Arial"/>
      <w:color w:val="1D4365" w:themeColor="accent1" w:themeShade="80"/>
    </w:rPr>
  </w:style>
  <w:style w:type="paragraph" w:customStyle="1" w:styleId="CalloutBox-ListLevel3">
    <w:name w:val="Callout Box - List Level 3"/>
    <w:qFormat/>
    <w:rsid w:val="00C35C3F"/>
    <w:pPr>
      <w:tabs>
        <w:tab w:val="num" w:pos="2160"/>
      </w:tabs>
      <w:spacing w:line="360" w:lineRule="auto"/>
      <w:ind w:left="2160" w:hanging="720"/>
    </w:pPr>
    <w:rPr>
      <w:rFonts w:ascii="Arial" w:hAnsi="Arial"/>
      <w:color w:val="1D4365" w:themeColor="accent1" w:themeShade="80"/>
    </w:rPr>
  </w:style>
  <w:style w:type="paragraph" w:customStyle="1" w:styleId="CalloutBoxParagraphafterList">
    <w:name w:val="Callout Box – Paragraph after List"/>
    <w:basedOn w:val="Paragraph-AfterList"/>
    <w:qFormat/>
    <w:rsid w:val="00C35C3F"/>
    <w:pPr>
      <w:spacing w:before="300" w:after="140"/>
    </w:pPr>
    <w:rPr>
      <w:color w:val="1D4365" w:themeColor="accent1" w:themeShade="80"/>
    </w:rPr>
  </w:style>
  <w:style w:type="paragraph" w:customStyle="1" w:styleId="CalloutBoxListNumbers">
    <w:name w:val="Callout Box – List Numbers"/>
    <w:qFormat/>
    <w:rsid w:val="00C35C3F"/>
    <w:pPr>
      <w:numPr>
        <w:numId w:val="11"/>
      </w:numPr>
      <w:tabs>
        <w:tab w:val="num" w:pos="720"/>
      </w:tabs>
      <w:spacing w:line="360" w:lineRule="auto"/>
    </w:pPr>
    <w:rPr>
      <w:rFonts w:ascii="Arial" w:hAnsi="Arial"/>
      <w:color w:val="1D4365" w:themeColor="accent1" w:themeShade="80"/>
    </w:rPr>
  </w:style>
  <w:style w:type="paragraph" w:customStyle="1" w:styleId="CalloutBoxListLetters">
    <w:name w:val="Callout Box – List Letters"/>
    <w:qFormat/>
    <w:rsid w:val="00C35C3F"/>
    <w:pPr>
      <w:tabs>
        <w:tab w:val="num" w:pos="720"/>
      </w:tabs>
      <w:spacing w:line="360" w:lineRule="auto"/>
      <w:ind w:left="720" w:hanging="720"/>
    </w:pPr>
    <w:rPr>
      <w:rFonts w:ascii="Arial" w:hAnsi="Arial"/>
      <w:color w:val="1D4365" w:themeColor="accent1" w:themeShade="80"/>
    </w:rPr>
  </w:style>
  <w:style w:type="paragraph" w:customStyle="1" w:styleId="ParagraphAfterCalloutBox">
    <w:name w:val="Paragraph – After Callout Box"/>
    <w:basedOn w:val="Paragraph"/>
    <w:qFormat/>
    <w:rsid w:val="007B7B2A"/>
    <w:pPr>
      <w:spacing w:before="400"/>
    </w:pPr>
  </w:style>
  <w:style w:type="paragraph" w:customStyle="1" w:styleId="ParagraphInline">
    <w:name w:val="Paragraph – Inline"/>
    <w:basedOn w:val="Paragraph"/>
    <w:link w:val="ParagraphInlineChar"/>
    <w:qFormat/>
    <w:rsid w:val="007B7B2A"/>
    <w:rPr>
      <w:b/>
      <w:bCs/>
      <w:color w:val="95BFE6" w:themeColor="accent5"/>
    </w:rPr>
  </w:style>
  <w:style w:type="paragraph" w:styleId="FootnoteText">
    <w:name w:val="footnote text"/>
    <w:basedOn w:val="Normal"/>
    <w:link w:val="FootnoteTextChar"/>
    <w:uiPriority w:val="99"/>
    <w:semiHidden/>
    <w:unhideWhenUsed/>
    <w:rsid w:val="00C35C3F"/>
    <w:pPr>
      <w:spacing w:line="240" w:lineRule="auto"/>
    </w:pPr>
    <w:rPr>
      <w:szCs w:val="20"/>
    </w:rPr>
  </w:style>
  <w:style w:type="character" w:customStyle="1" w:styleId="FootnoteTextChar">
    <w:name w:val="Footnote Text Char"/>
    <w:basedOn w:val="DefaultParagraphFont"/>
    <w:link w:val="FootnoteText"/>
    <w:uiPriority w:val="99"/>
    <w:semiHidden/>
    <w:rsid w:val="00930A3D"/>
    <w:rPr>
      <w:rFonts w:ascii="Arial" w:hAnsi="Arial"/>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63545B"/>
    <w:pPr>
      <w:spacing w:after="86" w:line="360" w:lineRule="auto"/>
      <w:ind w:left="129" w:hanging="115"/>
    </w:pPr>
    <w:rPr>
      <w:color w:val="1E1853" w:themeColor="text2"/>
      <w:szCs w:val="18"/>
    </w:rPr>
  </w:style>
  <w:style w:type="paragraph" w:customStyle="1" w:styleId="TableTitle">
    <w:name w:val="Table Title"/>
    <w:basedOn w:val="Paragraph"/>
    <w:uiPriority w:val="1"/>
    <w:qFormat/>
    <w:rsid w:val="009B6C8B"/>
    <w:pPr>
      <w:keepNext/>
      <w:keepLines/>
      <w:pBdr>
        <w:top w:val="single" w:sz="12" w:space="8" w:color="CAE0F9"/>
      </w:pBdr>
      <w:spacing w:before="500"/>
    </w:pPr>
    <w:rPr>
      <w:bCs/>
      <w:color w:val="534EA1" w:themeColor="accent2"/>
      <w:sz w:val="28"/>
      <w:szCs w:val="26"/>
    </w:rPr>
  </w:style>
  <w:style w:type="paragraph" w:customStyle="1" w:styleId="TableorFiguresNotesSources">
    <w:name w:val="Table or Figures Notes/Sources"/>
    <w:basedOn w:val="Paragraph"/>
    <w:qFormat/>
    <w:rsid w:val="0063545B"/>
    <w:pPr>
      <w:spacing w:before="120" w:after="400" w:line="200" w:lineRule="exact"/>
    </w:pPr>
    <w:rPr>
      <w:b/>
      <w:bCs/>
      <w:color w:val="534EA1" w:themeColor="accent2"/>
      <w:sz w:val="18"/>
      <w:szCs w:val="18"/>
    </w:rPr>
  </w:style>
  <w:style w:type="table" w:styleId="TableGrid">
    <w:name w:val="Table Grid"/>
    <w:basedOn w:val="NormalTable00"/>
    <w:uiPriority w:val="39"/>
    <w:rsid w:val="005D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NormalTable00"/>
    <w:uiPriority w:val="41"/>
    <w:rsid w:val="005D6A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NormalTable00"/>
    <w:uiPriority w:val="40"/>
    <w:rsid w:val="005D6A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2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BF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BF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BF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BFE6" w:themeFill="accent5"/>
      </w:tcPr>
    </w:tblStylePr>
    <w:tblStylePr w:type="band1Vert">
      <w:tblPr/>
      <w:tcPr>
        <w:shd w:val="clear" w:color="auto" w:fill="D4E5F5" w:themeFill="accent5" w:themeFillTint="66"/>
      </w:tcPr>
    </w:tblStylePr>
    <w:tblStylePr w:type="band1Horz">
      <w:tblPr/>
      <w:tcPr>
        <w:shd w:val="clear" w:color="auto" w:fill="D4E5F5" w:themeFill="accent5" w:themeFillTint="66"/>
      </w:tcPr>
    </w:tblStylePr>
  </w:style>
  <w:style w:type="table" w:styleId="GridTable4-Accent5">
    <w:name w:val="Grid Table 4 Accent 5"/>
    <w:basedOn w:val="NormalTable00"/>
    <w:uiPriority w:val="49"/>
    <w:rsid w:val="005D6A8C"/>
    <w:tblPr>
      <w:tblStyleRowBandSize w:val="1"/>
      <w:tblStyleColBandSize w:val="1"/>
      <w:tblBorders>
        <w:top w:val="single" w:sz="4" w:space="0" w:color="BFD8F0" w:themeColor="accent5" w:themeTint="99"/>
        <w:left w:val="single" w:sz="4" w:space="0" w:color="BFD8F0" w:themeColor="accent5" w:themeTint="99"/>
        <w:bottom w:val="single" w:sz="4" w:space="0" w:color="BFD8F0" w:themeColor="accent5" w:themeTint="99"/>
        <w:right w:val="single" w:sz="4" w:space="0" w:color="BFD8F0" w:themeColor="accent5" w:themeTint="99"/>
        <w:insideH w:val="single" w:sz="4" w:space="0" w:color="BFD8F0" w:themeColor="accent5" w:themeTint="99"/>
        <w:insideV w:val="single" w:sz="4" w:space="0" w:color="BFD8F0" w:themeColor="accent5" w:themeTint="99"/>
      </w:tblBorders>
    </w:tblPr>
    <w:tblStylePr w:type="firstRow">
      <w:rPr>
        <w:b/>
        <w:bCs/>
        <w:color w:val="FFFFFF" w:themeColor="background1"/>
      </w:rPr>
      <w:tblPr/>
      <w:tcPr>
        <w:tcBorders>
          <w:top w:val="single" w:sz="4" w:space="0" w:color="95BFE6" w:themeColor="accent5"/>
          <w:left w:val="single" w:sz="4" w:space="0" w:color="95BFE6" w:themeColor="accent5"/>
          <w:bottom w:val="single" w:sz="4" w:space="0" w:color="95BFE6" w:themeColor="accent5"/>
          <w:right w:val="single" w:sz="4" w:space="0" w:color="95BFE6" w:themeColor="accent5"/>
          <w:insideH w:val="nil"/>
          <w:insideV w:val="nil"/>
        </w:tcBorders>
        <w:shd w:val="clear" w:color="auto" w:fill="95BFE6" w:themeFill="accent5"/>
      </w:tcPr>
    </w:tblStylePr>
    <w:tblStylePr w:type="lastRow">
      <w:rPr>
        <w:b/>
        <w:bCs/>
      </w:rPr>
      <w:tblPr/>
      <w:tcPr>
        <w:tcBorders>
          <w:top w:val="double" w:sz="4" w:space="0" w:color="95BFE6" w:themeColor="accent5"/>
        </w:tcBorders>
      </w:tcPr>
    </w:tblStylePr>
    <w:tblStylePr w:type="firstCol">
      <w:rPr>
        <w:b/>
        <w:bCs/>
      </w:rPr>
    </w:tblStylePr>
    <w:tblStylePr w:type="lastCol">
      <w:rPr>
        <w:b/>
        <w:bCs/>
      </w:rPr>
    </w:tblStylePr>
    <w:tblStylePr w:type="band1Vert">
      <w:tblPr/>
      <w:tcPr>
        <w:shd w:val="clear" w:color="auto" w:fill="E9F2FA" w:themeFill="accent5" w:themeFillTint="33"/>
      </w:tcPr>
    </w:tblStylePr>
    <w:tblStylePr w:type="band1Horz">
      <w:tblPr/>
      <w:tcPr>
        <w:shd w:val="clear" w:color="auto" w:fill="E9F2FA" w:themeFill="accent5" w:themeFillTint="33"/>
      </w:tcPr>
    </w:tblStylePr>
  </w:style>
  <w:style w:type="table" w:styleId="GridTable5Dark-Accent6">
    <w:name w:val="Grid Table 5 Dark Accent 6"/>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9D7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9D7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9D7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9D70" w:themeFill="accent6"/>
      </w:tcPr>
    </w:tblStylePr>
    <w:tblStylePr w:type="band1Vert">
      <w:tblPr/>
      <w:tcPr>
        <w:shd w:val="clear" w:color="auto" w:fill="BBD8C5" w:themeFill="accent6" w:themeFillTint="66"/>
      </w:tcPr>
    </w:tblStylePr>
    <w:tblStylePr w:type="band1Horz">
      <w:tblPr/>
      <w:tcPr>
        <w:shd w:val="clear" w:color="auto" w:fill="BBD8C5" w:themeFill="accent6" w:themeFillTint="66"/>
      </w:tcPr>
    </w:tblStylePr>
  </w:style>
  <w:style w:type="table" w:styleId="ListTable3-Accent5">
    <w:name w:val="List Table 3 Accent 5"/>
    <w:aliases w:val="WestEd Table"/>
    <w:basedOn w:val="NormalTable00"/>
    <w:uiPriority w:val="48"/>
    <w:rsid w:val="006E52E5"/>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95BFE6" w:themeFill="accent5"/>
      </w:tcPr>
    </w:tblStylePr>
    <w:tblStylePr w:type="lastRow">
      <w:rPr>
        <w:b/>
        <w:bCs/>
      </w:rPr>
      <w:tblPr/>
      <w:tcPr>
        <w:shd w:val="clear" w:color="auto" w:fill="1A154A" w:themeFill="text2" w:themeFillShade="E6"/>
      </w:tcPr>
    </w:tblStylePr>
    <w:tblStylePr w:type="firstCol">
      <w:rPr>
        <w:b/>
        <w:bCs/>
      </w:rPr>
      <w:tblPr/>
      <w:tcPr>
        <w:shd w:val="clear" w:color="auto" w:fill="E9F2FA" w:themeFill="accent5" w:themeFillTint="33"/>
      </w:tcPr>
    </w:tblStylePr>
    <w:tblStylePr w:type="lastCol">
      <w:rPr>
        <w:b/>
        <w:bCs/>
      </w:rPr>
      <w:tblPr/>
      <w:tcPr>
        <w:shd w:val="clear" w:color="auto" w:fill="1A154A" w:themeFill="text2" w:themeFillShade="E6"/>
      </w:tcPr>
    </w:tblStylePr>
    <w:tblStylePr w:type="band1Vert">
      <w:tblPr/>
      <w:tcPr>
        <w:shd w:val="clear" w:color="auto" w:fill="1E1853" w:themeFill="text2"/>
      </w:tcPr>
    </w:tblStylePr>
    <w:tblStylePr w:type="band2Vert">
      <w:tblPr/>
      <w:tcPr>
        <w:shd w:val="clear" w:color="auto" w:fill="1E1853" w:themeFill="text2"/>
      </w:tcPr>
    </w:tblStylePr>
    <w:tblStylePr w:type="band1Horz">
      <w:tblPr/>
      <w:tcPr>
        <w:shd w:val="clear" w:color="auto" w:fill="1E1853" w:themeFill="text2"/>
      </w:tcPr>
    </w:tblStylePr>
    <w:tblStylePr w:type="band2Horz">
      <w:tblPr/>
      <w:tcPr>
        <w:shd w:val="clear" w:color="auto" w:fill="1E1853"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BFE6" w:themeColor="accent5"/>
          <w:left w:val="nil"/>
        </w:tcBorders>
      </w:tcPr>
    </w:tblStylePr>
    <w:tblStylePr w:type="swCell">
      <w:tblPr/>
      <w:tcPr>
        <w:tcBorders>
          <w:top w:val="double" w:sz="4" w:space="0" w:color="95BFE6" w:themeColor="accent5"/>
          <w:right w:val="nil"/>
        </w:tcBorders>
      </w:tcPr>
    </w:tblStylePr>
  </w:style>
  <w:style w:type="paragraph" w:customStyle="1" w:styleId="TableTotalRowText">
    <w:name w:val="Table Total Row Text"/>
    <w:basedOn w:val="TableBodyText"/>
    <w:qFormat/>
    <w:rsid w:val="007B7B2A"/>
    <w:rPr>
      <w:color w:val="FFFFFF"/>
    </w:rPr>
  </w:style>
  <w:style w:type="paragraph" w:customStyle="1" w:styleId="TableHeaderRow">
    <w:name w:val="Table Header Row"/>
    <w:basedOn w:val="Normal"/>
    <w:qFormat/>
    <w:rsid w:val="009B6C8B"/>
    <w:pPr>
      <w:keepNext/>
      <w:keepLines/>
      <w:jc w:val="center"/>
    </w:pPr>
    <w:rPr>
      <w:b/>
      <w:bCs/>
      <w:color w:val="FFFFFF" w:themeColor="background1"/>
    </w:rPr>
  </w:style>
  <w:style w:type="paragraph" w:customStyle="1" w:styleId="TableCategoryText">
    <w:name w:val="Table Category Text"/>
    <w:basedOn w:val="Paragraph"/>
    <w:qFormat/>
    <w:rsid w:val="00C35C3F"/>
    <w:pPr>
      <w:spacing w:after="0"/>
    </w:pPr>
    <w:rPr>
      <w:b/>
      <w:bCs/>
      <w:color w:val="1D4365" w:themeColor="accent1" w:themeShade="80"/>
      <w:szCs w:val="20"/>
    </w:rPr>
  </w:style>
  <w:style w:type="paragraph" w:customStyle="1" w:styleId="TableBodyText">
    <w:name w:val="Table Body Text"/>
    <w:basedOn w:val="Paragraph"/>
    <w:qFormat/>
    <w:rsid w:val="00C35C3F"/>
    <w:pPr>
      <w:spacing w:after="80"/>
    </w:pPr>
    <w:rPr>
      <w:color w:val="1D4365" w:themeColor="accent1" w:themeShade="80"/>
      <w:szCs w:val="20"/>
    </w:rPr>
  </w:style>
  <w:style w:type="paragraph" w:customStyle="1" w:styleId="TableBullets">
    <w:name w:val="Table Bullets"/>
    <w:basedOn w:val="Paragraph"/>
    <w:qFormat/>
    <w:rsid w:val="0063545B"/>
    <w:pPr>
      <w:numPr>
        <w:numId w:val="4"/>
      </w:numPr>
      <w:spacing w:after="80"/>
    </w:pPr>
    <w:rPr>
      <w:color w:val="1D4365" w:themeColor="accent1" w:themeShade="80"/>
      <w:szCs w:val="20"/>
    </w:rPr>
  </w:style>
  <w:style w:type="paragraph" w:customStyle="1" w:styleId="CalloutBox-TitlenoSubtitle">
    <w:name w:val="Callout Box - Title no Subtitle"/>
    <w:basedOn w:val="CalloutBox-Title"/>
    <w:qFormat/>
    <w:rsid w:val="00C35C3F"/>
    <w:pPr>
      <w:pBdr>
        <w:bottom w:val="single" w:sz="4" w:space="10" w:color="3E87C7" w:themeColor="accent1"/>
      </w:pBdr>
    </w:pPr>
  </w:style>
  <w:style w:type="paragraph" w:customStyle="1" w:styleId="CalloutBoxLastParagraph">
    <w:name w:val="Callout Box – Last Paragraph"/>
    <w:basedOn w:val="CalloutBox-Paragraph"/>
    <w:qFormat/>
    <w:rsid w:val="00930A3D"/>
    <w:pPr>
      <w:pBdr>
        <w:top w:val="single" w:sz="48" w:space="18" w:color="3E87C7" w:themeColor="accent1"/>
        <w:left w:val="single" w:sz="48" w:space="10" w:color="FFFFFF" w:themeColor="background1"/>
        <w:bottom w:val="single" w:sz="48" w:space="18" w:color="3E87C7" w:themeColor="accent1"/>
        <w:right w:val="single" w:sz="48" w:space="10" w:color="FFFFFF" w:themeColor="background1"/>
      </w:pBdr>
      <w:shd w:val="clear" w:color="auto" w:fill="EFF7FF"/>
      <w:spacing w:after="270" w:line="300" w:lineRule="auto"/>
      <w:ind w:left="180" w:right="180"/>
    </w:pPr>
    <w:rPr>
      <w:color w:val="1E1853" w:themeColor="text2"/>
    </w:rPr>
  </w:style>
  <w:style w:type="character" w:styleId="CommentReference">
    <w:name w:val="annotation reference"/>
    <w:basedOn w:val="DefaultParagraphFont"/>
    <w:uiPriority w:val="99"/>
    <w:semiHidden/>
    <w:unhideWhenUsed/>
    <w:rsid w:val="007C3736"/>
    <w:rPr>
      <w:rFonts w:asciiTheme="minorHAnsi" w:hAnsiTheme="minorHAnsi"/>
      <w:color w:val="3E87C7" w:themeColor="accent1"/>
      <w:sz w:val="16"/>
      <w:szCs w:val="16"/>
    </w:rPr>
  </w:style>
  <w:style w:type="paragraph" w:styleId="CommentText">
    <w:name w:val="annotation text"/>
    <w:basedOn w:val="Normal"/>
    <w:link w:val="CommentTextChar"/>
    <w:uiPriority w:val="99"/>
    <w:unhideWhenUsed/>
    <w:rsid w:val="00C35C3F"/>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C3736"/>
    <w:rPr>
      <w:sz w:val="20"/>
      <w:szCs w:val="20"/>
      <w:lang w:val="en-US" w:eastAsia="en-US"/>
    </w:rPr>
  </w:style>
  <w:style w:type="paragraph" w:styleId="BalloonText">
    <w:name w:val="Balloon Text"/>
    <w:basedOn w:val="Normal"/>
    <w:link w:val="BalloonTextChar"/>
    <w:uiPriority w:val="99"/>
    <w:semiHidden/>
    <w:unhideWhenUsed/>
    <w:rsid w:val="00C35C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paragraph" w:customStyle="1" w:styleId="Heading2C-Withinflow">
    <w:name w:val="Heading 2C - Within flow"/>
    <w:basedOn w:val="Heading3A"/>
    <w:qFormat/>
    <w:rsid w:val="0063545B"/>
    <w:rPr>
      <w:b/>
      <w:color w:val="383838" w:themeColor="text1"/>
    </w:rPr>
  </w:style>
  <w:style w:type="paragraph" w:customStyle="1" w:styleId="HighlightBox-Title">
    <w:name w:val="Highlight Box - Title"/>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2C6497" w:themeFill="accent1" w:themeFillShade="BF"/>
      <w:spacing w:before="600" w:after="0"/>
      <w:ind w:left="288" w:right="288"/>
    </w:pPr>
    <w:rPr>
      <w:b/>
      <w:bCs/>
      <w:color w:val="FFFFFF" w:themeColor="background1"/>
      <w:sz w:val="28"/>
      <w:szCs w:val="28"/>
    </w:rPr>
  </w:style>
  <w:style w:type="paragraph" w:customStyle="1" w:styleId="HighlightBox-Paragraph">
    <w:name w:val="Highlight Box - Paragraph"/>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E9F2FA" w:themeFill="accent5" w:themeFillTint="33"/>
      <w:spacing w:before="100" w:after="116"/>
      <w:ind w:left="289" w:right="289"/>
    </w:pPr>
    <w:rPr>
      <w:color w:val="1E1853" w:themeColor="text2"/>
    </w:rPr>
  </w:style>
  <w:style w:type="paragraph" w:customStyle="1" w:styleId="HighlightBoxParagraphnoTitle">
    <w:name w:val="Highlight Box – Paragraph no Title"/>
    <w:basedOn w:val="HighlightBox-Paragraph"/>
    <w:qFormat/>
    <w:rsid w:val="007B7B2A"/>
    <w:pPr>
      <w:spacing w:before="500"/>
    </w:pPr>
  </w:style>
  <w:style w:type="paragraph" w:customStyle="1" w:styleId="BlockQuote">
    <w:name w:val="BlockQuote"/>
    <w:basedOn w:val="Paragraph"/>
    <w:qFormat/>
    <w:rsid w:val="007B7B2A"/>
    <w:pPr>
      <w:spacing w:before="240"/>
      <w:ind w:left="578" w:right="578"/>
    </w:pPr>
    <w:rPr>
      <w:rFonts w:cs="Times New Roman (Body CS)"/>
      <w:iCs/>
    </w:rPr>
  </w:style>
  <w:style w:type="paragraph" w:customStyle="1" w:styleId="TableCategoryTotalText">
    <w:name w:val="Table Category Total Text"/>
    <w:basedOn w:val="TableCategoryText"/>
    <w:qFormat/>
    <w:rsid w:val="007B7B2A"/>
    <w:rPr>
      <w:bCs w:val="0"/>
      <w:color w:val="FFFFFF"/>
    </w:rPr>
  </w:style>
  <w:style w:type="paragraph" w:styleId="TOC1">
    <w:name w:val="toc 1"/>
    <w:basedOn w:val="Normal"/>
    <w:next w:val="Normal"/>
    <w:autoRedefine/>
    <w:uiPriority w:val="39"/>
    <w:unhideWhenUsed/>
    <w:rsid w:val="00C35C3F"/>
    <w:pPr>
      <w:keepNext/>
      <w:tabs>
        <w:tab w:val="right" w:pos="9350"/>
      </w:tabs>
      <w:spacing w:before="380" w:line="320" w:lineRule="exact"/>
      <w:ind w:left="720"/>
    </w:pPr>
    <w:rPr>
      <w:rFonts w:ascii="Calibri" w:hAnsi="Calibri"/>
      <w:b/>
      <w:color w:val="3C8235"/>
      <w:sz w:val="26"/>
    </w:rPr>
  </w:style>
  <w:style w:type="character" w:customStyle="1" w:styleId="Heading2Char">
    <w:name w:val="Heading 2 Char"/>
    <w:basedOn w:val="DefaultParagraphFont"/>
    <w:link w:val="heading200"/>
    <w:uiPriority w:val="9"/>
    <w:semiHidden/>
    <w:rsid w:val="008B53B8"/>
    <w:rPr>
      <w:rFonts w:asciiTheme="majorHAnsi" w:eastAsiaTheme="majorEastAsia" w:hAnsiTheme="majorHAnsi" w:cstheme="majorBidi"/>
      <w:color w:val="2C6497" w:themeColor="accent1" w:themeShade="BF"/>
      <w:sz w:val="26"/>
      <w:szCs w:val="26"/>
    </w:rPr>
  </w:style>
  <w:style w:type="character" w:customStyle="1" w:styleId="Heading3Char">
    <w:name w:val="Heading 3 Char"/>
    <w:basedOn w:val="DefaultParagraphFont"/>
    <w:link w:val="heading300"/>
    <w:uiPriority w:val="9"/>
    <w:semiHidden/>
    <w:rsid w:val="008B53B8"/>
    <w:rPr>
      <w:rFonts w:asciiTheme="majorHAnsi" w:eastAsiaTheme="majorEastAsia" w:hAnsiTheme="majorHAnsi" w:cstheme="majorBidi"/>
      <w:color w:val="1D4264" w:themeColor="accent1" w:themeShade="7F"/>
      <w:sz w:val="24"/>
      <w:szCs w:val="24"/>
    </w:rPr>
  </w:style>
  <w:style w:type="paragraph" w:styleId="TOC2">
    <w:name w:val="toc 2"/>
    <w:basedOn w:val="Normal"/>
    <w:next w:val="Normal"/>
    <w:autoRedefine/>
    <w:uiPriority w:val="39"/>
    <w:unhideWhenUsed/>
    <w:rsid w:val="00C35C3F"/>
    <w:pPr>
      <w:tabs>
        <w:tab w:val="right" w:pos="9350"/>
      </w:tabs>
      <w:spacing w:before="20" w:after="140" w:line="240" w:lineRule="auto"/>
      <w:ind w:left="1083" w:right="1440"/>
    </w:pPr>
    <w:rPr>
      <w:rFonts w:ascii="Calibri" w:hAnsi="Calibri"/>
      <w:b/>
      <w:color w:val="3E87C7" w:themeColor="accent1"/>
    </w:rPr>
  </w:style>
  <w:style w:type="paragraph" w:styleId="TOC3">
    <w:name w:val="toc 3"/>
    <w:basedOn w:val="Normal"/>
    <w:next w:val="Normal"/>
    <w:autoRedefine/>
    <w:uiPriority w:val="39"/>
    <w:unhideWhenUsed/>
    <w:rsid w:val="00C35C3F"/>
    <w:pPr>
      <w:keepNext/>
      <w:tabs>
        <w:tab w:val="right" w:pos="9350"/>
      </w:tabs>
      <w:spacing w:before="20" w:after="140" w:line="260" w:lineRule="exact"/>
      <w:ind w:left="1440" w:right="1440"/>
    </w:pPr>
    <w:rPr>
      <w:rFonts w:ascii="Calibri" w:hAnsi="Calibri"/>
      <w:color w:val="3E87C7" w:themeColor="accent1"/>
      <w:sz w:val="21"/>
    </w:rPr>
  </w:style>
  <w:style w:type="paragraph" w:styleId="TOC4">
    <w:name w:val="toc 4"/>
    <w:basedOn w:val="Normal"/>
    <w:next w:val="Normal"/>
    <w:autoRedefine/>
    <w:uiPriority w:val="39"/>
    <w:unhideWhenUsed/>
    <w:rsid w:val="00C35C3F"/>
    <w:pPr>
      <w:keepNext/>
      <w:tabs>
        <w:tab w:val="right" w:pos="9350"/>
      </w:tabs>
      <w:spacing w:before="20" w:after="160" w:line="260" w:lineRule="exact"/>
      <w:ind w:left="1800" w:right="1440"/>
    </w:pPr>
    <w:rPr>
      <w:rFonts w:ascii="Calibri" w:hAnsi="Calibri"/>
      <w:i/>
      <w:color w:val="3E87C7" w:themeColor="accent1"/>
      <w:sz w:val="21"/>
    </w:rPr>
  </w:style>
  <w:style w:type="paragraph" w:customStyle="1" w:styleId="TOCListHeading">
    <w:name w:val="TOC List Heading"/>
    <w:basedOn w:val="Paragraph"/>
    <w:qFormat/>
    <w:rsid w:val="0063545B"/>
    <w:pPr>
      <w:pBdr>
        <w:top w:val="single" w:sz="36" w:space="15" w:color="3E87C7" w:themeColor="accent1"/>
      </w:pBdr>
      <w:spacing w:before="800" w:after="180"/>
      <w:ind w:left="720"/>
      <w:outlineLvl w:val="1"/>
    </w:pPr>
    <w:rPr>
      <w:rFonts w:cs="Times New Roman (Body CS)"/>
      <w:b/>
      <w:bCs/>
      <w:caps/>
      <w:color w:val="1E1853" w:themeColor="text2"/>
      <w:sz w:val="28"/>
      <w:szCs w:val="28"/>
    </w:rPr>
  </w:style>
  <w:style w:type="paragraph" w:customStyle="1" w:styleId="TOCFiguresText">
    <w:name w:val="TOC Figures Text"/>
    <w:basedOn w:val="TOC3"/>
    <w:semiHidden/>
    <w:rsid w:val="00D51F6F"/>
    <w:pPr>
      <w:ind w:left="720" w:right="0"/>
    </w:pPr>
  </w:style>
  <w:style w:type="paragraph" w:customStyle="1" w:styleId="TitleinHeader">
    <w:name w:val="Title in Header"/>
    <w:basedOn w:val="Normal"/>
    <w:qFormat/>
    <w:rsid w:val="00C35C3F"/>
    <w:pPr>
      <w:widowControl w:val="0"/>
      <w:autoSpaceDE w:val="0"/>
      <w:autoSpaceDN w:val="0"/>
      <w:adjustRightInd w:val="0"/>
      <w:spacing w:line="240" w:lineRule="auto"/>
      <w:textAlignment w:val="center"/>
    </w:pPr>
    <w:rPr>
      <w:rFonts w:ascii="Calibri" w:hAnsi="Calibri"/>
      <w:b/>
      <w:bCs/>
      <w:i/>
      <w:iCs/>
      <w:sz w:val="18"/>
      <w:szCs w:val="18"/>
    </w:rPr>
  </w:style>
  <w:style w:type="character" w:styleId="PageNumber">
    <w:name w:val="page number"/>
    <w:basedOn w:val="DefaultParagraphFont"/>
    <w:uiPriority w:val="99"/>
    <w:semiHidden/>
    <w:unhideWhenUsed/>
    <w:rsid w:val="003329A6"/>
    <w:rPr>
      <w:rFonts w:ascii="Calibri" w:hAnsi="Calibri"/>
      <w:color w:val="83A3B3"/>
      <w:sz w:val="20"/>
      <w:bdr w:val="none" w:sz="0" w:space="0" w:color="auto"/>
    </w:rPr>
  </w:style>
  <w:style w:type="character" w:customStyle="1" w:styleId="Heading2B-StartofnewpageChar">
    <w:name w:val="Heading 2B - Start of new page Char"/>
    <w:basedOn w:val="DefaultParagraphFont"/>
    <w:link w:val="Heading2B-Startofnewpage"/>
    <w:rsid w:val="0063545B"/>
    <w:rPr>
      <w:rFonts w:ascii="Arial" w:hAnsi="Arial"/>
      <w:b/>
      <w:color w:val="383838" w:themeColor="text1"/>
      <w:sz w:val="36"/>
      <w:szCs w:val="70"/>
    </w:rPr>
  </w:style>
  <w:style w:type="character" w:customStyle="1" w:styleId="ParagraphIntroFollowingHeadingChar">
    <w:name w:val="Paragraph  – Intro Following Heading Char"/>
    <w:basedOn w:val="Heading2B-StartofnewpageChar"/>
    <w:link w:val="ParagraphIntroFollowingHeading"/>
    <w:rsid w:val="0063545B"/>
    <w:rPr>
      <w:rFonts w:ascii="Arial" w:hAnsi="Arial"/>
      <w:b/>
      <w:color w:val="1D4365" w:themeColor="accent1" w:themeShade="80"/>
      <w:sz w:val="30"/>
      <w:szCs w:val="30"/>
    </w:rPr>
  </w:style>
  <w:style w:type="character" w:customStyle="1" w:styleId="ParagraphFirstContentAfterIntroChar">
    <w:name w:val="Paragraph – First Content After Intro Char"/>
    <w:basedOn w:val="ParagraphIntroFollowingHeadingChar"/>
    <w:link w:val="ParagraphFirstContentAfterIntro"/>
    <w:rsid w:val="0063545B"/>
    <w:rPr>
      <w:rFonts w:ascii="Arial" w:hAnsi="Arial"/>
      <w:b/>
      <w:color w:val="3E535F"/>
      <w:sz w:val="30"/>
      <w:szCs w:val="30"/>
    </w:rPr>
  </w:style>
  <w:style w:type="character" w:customStyle="1" w:styleId="ParagraphChar">
    <w:name w:val="Paragraph Char"/>
    <w:basedOn w:val="ParagraphFirstContentAfterIntroChar"/>
    <w:link w:val="Paragraph"/>
    <w:rsid w:val="00794527"/>
    <w:rPr>
      <w:rFonts w:ascii="Arial" w:hAnsi="Arial"/>
      <w:b/>
      <w:color w:val="3E535F"/>
      <w:sz w:val="24"/>
      <w:szCs w:val="24"/>
      <w:lang w:val="en-US"/>
    </w:rPr>
  </w:style>
  <w:style w:type="character" w:customStyle="1" w:styleId="ParagraphInlineChar">
    <w:name w:val="Paragraph – Inline Char"/>
    <w:basedOn w:val="ParagraphChar"/>
    <w:link w:val="ParagraphInline"/>
    <w:rsid w:val="007B7B2A"/>
    <w:rPr>
      <w:rFonts w:ascii="Arial" w:hAnsi="Arial"/>
      <w:b w:val="0"/>
      <w:bCs/>
      <w:color w:val="95BFE6" w:themeColor="accent5"/>
      <w:sz w:val="24"/>
      <w:szCs w:val="24"/>
      <w:lang w:val="en-US"/>
    </w:rPr>
  </w:style>
  <w:style w:type="paragraph" w:customStyle="1" w:styleId="Figure">
    <w:name w:val="Figure"/>
    <w:basedOn w:val="Paragraph"/>
    <w:qFormat/>
    <w:rsid w:val="007B7B2A"/>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semiHidden/>
    <w:unhideWhenUsed/>
    <w:rsid w:val="00B0073F"/>
    <w:rPr>
      <w:color w:val="954F72" w:themeColor="followedHyperlink"/>
      <w:u w:val="single"/>
    </w:rPr>
  </w:style>
  <w:style w:type="paragraph" w:customStyle="1" w:styleId="FigureTitle">
    <w:name w:val="Figure Title"/>
    <w:basedOn w:val="TableTitle"/>
    <w:uiPriority w:val="1"/>
    <w:qFormat/>
    <w:rsid w:val="009B6C8B"/>
    <w:pPr>
      <w:pBdr>
        <w:top w:val="single" w:sz="12" w:space="8" w:color="3E87C7" w:themeColor="accent1"/>
      </w:pBdr>
      <w:spacing w:before="240"/>
    </w:pPr>
    <w:rPr>
      <w:color w:val="5043C8" w:themeColor="text2" w:themeTint="99"/>
    </w:rPr>
  </w:style>
  <w:style w:type="paragraph" w:styleId="TableofFigures">
    <w:name w:val="table of figures"/>
    <w:basedOn w:val="Normal"/>
    <w:next w:val="Normal"/>
    <w:uiPriority w:val="99"/>
    <w:unhideWhenUsed/>
    <w:rsid w:val="00C35C3F"/>
    <w:pPr>
      <w:keepNext/>
      <w:tabs>
        <w:tab w:val="right" w:pos="9346"/>
      </w:tabs>
      <w:spacing w:before="20" w:after="140" w:line="260" w:lineRule="exact"/>
      <w:ind w:left="720"/>
    </w:pPr>
    <w:rPr>
      <w:rFonts w:ascii="Calibri" w:hAnsi="Calibri"/>
      <w:color w:val="3E87C7" w:themeColor="accent1"/>
      <w:sz w:val="21"/>
    </w:rPr>
  </w:style>
  <w:style w:type="paragraph" w:customStyle="1" w:styleId="TableofBoxes">
    <w:name w:val="Table of Boxes"/>
    <w:basedOn w:val="TOC3"/>
    <w:semiHidden/>
    <w:qFormat/>
    <w:rsid w:val="001438CE"/>
    <w:pPr>
      <w:ind w:left="720" w:right="0"/>
    </w:pPr>
  </w:style>
  <w:style w:type="paragraph" w:styleId="TOC9">
    <w:name w:val="toc 9"/>
    <w:aliases w:val="List of Boxes"/>
    <w:basedOn w:val="Normal"/>
    <w:next w:val="Normal"/>
    <w:autoRedefine/>
    <w:uiPriority w:val="39"/>
    <w:unhideWhenUsed/>
    <w:rsid w:val="00C35C3F"/>
    <w:pPr>
      <w:keepNext/>
      <w:tabs>
        <w:tab w:val="right" w:pos="9350"/>
      </w:tabs>
      <w:spacing w:before="20" w:after="140" w:line="260" w:lineRule="exact"/>
      <w:ind w:left="720"/>
    </w:pPr>
    <w:rPr>
      <w:rFonts w:ascii="Calibri" w:hAnsi="Calibri"/>
      <w:color w:val="3E87C7" w:themeColor="accent1"/>
      <w:sz w:val="21"/>
    </w:rPr>
  </w:style>
  <w:style w:type="paragraph" w:customStyle="1" w:styleId="StyleBoilerplateItalic">
    <w:name w:val="Style Boilerplate + Italic"/>
    <w:basedOn w:val="Boilerplate"/>
    <w:rsid w:val="007B7B2A"/>
    <w:rPr>
      <w:i/>
      <w:iCs/>
    </w:rPr>
  </w:style>
  <w:style w:type="paragraph" w:customStyle="1" w:styleId="StyleTOC2NotBold">
    <w:name w:val="Style TOC 2 + Not Bold"/>
    <w:basedOn w:val="TOC2"/>
    <w:rsid w:val="007B7B2A"/>
    <w:rPr>
      <w:b w:val="0"/>
    </w:rPr>
  </w:style>
  <w:style w:type="paragraph" w:customStyle="1" w:styleId="StyleParagraphItalic">
    <w:name w:val="Style Paragraph + Italic"/>
    <w:basedOn w:val="Paragraph"/>
    <w:rsid w:val="007B7B2A"/>
    <w:rPr>
      <w:i/>
      <w:iCs/>
    </w:rPr>
  </w:style>
  <w:style w:type="character" w:customStyle="1" w:styleId="eop">
    <w:name w:val="eop"/>
    <w:basedOn w:val="DefaultParagraphFont"/>
    <w:rsid w:val="00C36AC3"/>
  </w:style>
  <w:style w:type="paragraph" w:styleId="CommentSubject">
    <w:name w:val="annotation subject"/>
    <w:basedOn w:val="CommentText"/>
    <w:next w:val="CommentText"/>
    <w:link w:val="CommentSubjectChar"/>
    <w:uiPriority w:val="99"/>
    <w:semiHidden/>
    <w:unhideWhenUsed/>
    <w:rsid w:val="007D368E"/>
    <w:pPr>
      <w:spacing w:after="200"/>
    </w:pPr>
    <w:rPr>
      <w:b/>
      <w:bCs/>
      <w:lang w:eastAsia="zh-CN"/>
    </w:rPr>
  </w:style>
  <w:style w:type="character" w:customStyle="1" w:styleId="CommentSubjectChar">
    <w:name w:val="Comment Subject Char"/>
    <w:basedOn w:val="CommentTextChar"/>
    <w:link w:val="CommentSubject"/>
    <w:uiPriority w:val="99"/>
    <w:semiHidden/>
    <w:rsid w:val="007D368E"/>
    <w:rPr>
      <w:b/>
      <w:bCs/>
      <w:sz w:val="20"/>
      <w:szCs w:val="20"/>
      <w:lang w:val="en-US" w:eastAsia="en-US"/>
    </w:rPr>
  </w:style>
  <w:style w:type="character" w:styleId="Emphasis">
    <w:name w:val="Emphasis"/>
    <w:basedOn w:val="DefaultParagraphFont"/>
    <w:uiPriority w:val="20"/>
    <w:qFormat/>
    <w:rsid w:val="007D368E"/>
    <w:rPr>
      <w:i/>
      <w:iCs/>
    </w:rPr>
  </w:style>
  <w:style w:type="paragraph" w:styleId="ListParagraph">
    <w:name w:val="List Paragraph"/>
    <w:basedOn w:val="Normal"/>
    <w:uiPriority w:val="34"/>
    <w:qFormat/>
    <w:rsid w:val="00C35C3F"/>
    <w:pPr>
      <w:spacing w:line="240" w:lineRule="auto"/>
      <w:ind w:left="720"/>
      <w:contextualSpacing/>
    </w:pPr>
    <w:rPr>
      <w:rFonts w:ascii="Calibri" w:hAnsi="Calibri"/>
    </w:rPr>
  </w:style>
  <w:style w:type="table" w:customStyle="1" w:styleId="a">
    <w:basedOn w:val="NormalTable00"/>
    <w:rPr>
      <w:sz w:val="20"/>
      <w:szCs w:val="20"/>
    </w:rPr>
    <w:tblPr>
      <w:tblStyleRowBandSize w:val="1"/>
      <w:tblStyleColBandSize w:val="1"/>
      <w:tblCellMar>
        <w:top w:w="142" w:type="dxa"/>
        <w:left w:w="176" w:type="dxa"/>
        <w:bottom w:w="142" w:type="dxa"/>
        <w:right w:w="119" w:type="dxa"/>
      </w:tblCellMar>
    </w:tblPr>
    <w:tcPr>
      <w:shd w:val="clear" w:color="auto" w:fill="E1EDFB"/>
    </w:tc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4">
    <w:basedOn w:val="NormalTable0"/>
    <w:rPr>
      <w:sz w:val="20"/>
      <w:szCs w:val="20"/>
    </w:rPr>
    <w:tblPr>
      <w:tblStyleRowBandSize w:val="1"/>
      <w:tblStyleColBandSize w:val="1"/>
      <w:tblCellMar>
        <w:left w:w="115" w:type="dxa"/>
        <w:right w:w="115" w:type="dxa"/>
      </w:tblCellMar>
    </w:tblPr>
    <w:tcPr>
      <w:shd w:val="clear" w:color="auto" w:fill="E1EDFB"/>
    </w:tcPr>
  </w:style>
  <w:style w:type="paragraph" w:styleId="Revision">
    <w:name w:val="Revision"/>
    <w:hidden/>
    <w:uiPriority w:val="99"/>
    <w:semiHidden/>
    <w:rsid w:val="00FB1E2C"/>
  </w:style>
  <w:style w:type="paragraph" w:customStyle="1" w:styleId="Normal1">
    <w:name w:val="Normal1"/>
    <w:basedOn w:val="Normal"/>
    <w:uiPriority w:val="1"/>
    <w:qFormat/>
    <w:rsid w:val="00BF5B9D"/>
    <w:pPr>
      <w:spacing w:after="160" w:line="259" w:lineRule="auto"/>
    </w:pPr>
    <w:rPr>
      <w:rFonts w:ascii="Calibri" w:hAnsi="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303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home.edweb.net/webinar/dei20230515/" TargetMode="External"/><Relationship Id="rId2" Type="http://schemas.openxmlformats.org/officeDocument/2006/relationships/customXml" Target="../customXml/item2.xml"/><Relationship Id="rId16" Type="http://schemas.openxmlformats.org/officeDocument/2006/relationships/hyperlink" Target="https://www.cde.ca.gov/ci/ma/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DE Alt Means">
      <a:dk1>
        <a:srgbClr val="383838"/>
      </a:dk1>
      <a:lt1>
        <a:srgbClr val="FFFFFF"/>
      </a:lt1>
      <a:dk2>
        <a:srgbClr val="1E1853"/>
      </a:dk2>
      <a:lt2>
        <a:srgbClr val="E7E6E6"/>
      </a:lt2>
      <a:accent1>
        <a:srgbClr val="3E87C7"/>
      </a:accent1>
      <a:accent2>
        <a:srgbClr val="534EA1"/>
      </a:accent2>
      <a:accent3>
        <a:srgbClr val="ED6C40"/>
      </a:accent3>
      <a:accent4>
        <a:srgbClr val="FBCC54"/>
      </a:accent4>
      <a:accent5>
        <a:srgbClr val="95BFE6"/>
      </a:accent5>
      <a:accent6>
        <a:srgbClr val="599D70"/>
      </a:accent6>
      <a:hlink>
        <a:srgbClr val="0563C1"/>
      </a:hlink>
      <a:folHlink>
        <a:srgbClr val="954F72"/>
      </a:folHlink>
    </a:clrScheme>
    <a:fontScheme name="WestEd">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p2Z8KeYXfflGdBBJI2QaB/+RQ==">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IpECCgp0ZXh0L3BsYWluEoICQHpzbWl0aEB3ZXN0ZWQub3Jn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iwgMKCnRleHQvcGxhaW4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qRwoOS2F0aWUgU2FsZ3Vlcm8aNS8vc3NsLmdzdGF0aWMuY29tL2RvY3MvY29tbW9uL2JsdWVfc2lsaG91ZXR0ZTk2LTAucG5nMPjT/JD8MDj40/yQ/DBySQoOS2F0aWUgU2FsZ3Vlcm8aNwo1Ly9zc2wuZ3N0YXRpYy5jb20vZG9jcy9jb21tb24vYmx1ZV9zaWxob3VldHRlOTYtMC5wbmd4AIgBAZoBBggAEAAYAKoBtgM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imAMKCnRleHQvcGxhaW4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</go:docsCustomData>
</go:gDocsCustomXmlDataStorage>
</file>

<file path=customXml/itemProps1.xml><?xml version="1.0" encoding="utf-8"?>
<ds:datastoreItem xmlns:ds="http://schemas.openxmlformats.org/officeDocument/2006/customXml" ds:itemID="{677508BE-8CCA-9A4B-B166-D6BF7B167C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Alternative Means of Expression: Tools for Measuring Proficiency Across Assessment Mediums</dc:title>
  <dc:creator>Angela Knotts;Angela Torres;Beth Clavenna-Deane</dc:creator>
  <cp:lastModifiedBy>Alex Dang-Lozano</cp:lastModifiedBy>
  <cp:revision>45</cp:revision>
  <dcterms:created xsi:type="dcterms:W3CDTF">2024-04-04T19:50:00Z</dcterms:created>
  <dcterms:modified xsi:type="dcterms:W3CDTF">2024-07-31T16:57:00Z</dcterms:modified>
</cp:coreProperties>
</file>